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师市工信局202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年法治政府建设工作</w:t>
      </w:r>
      <w:r>
        <w:rPr>
          <w:rFonts w:hint="eastAsia" w:ascii="方正小标宋简体" w:hAnsi="方正小标宋简体" w:eastAsia="方正小标宋简体" w:cs="方正小标宋简体"/>
          <w:sz w:val="44"/>
          <w:szCs w:val="44"/>
          <w:lang w:eastAsia="zh-CN"/>
        </w:rPr>
        <w:t>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年，工信局在师市党委的领导下，根据《</w:t>
      </w:r>
      <w:r>
        <w:rPr>
          <w:rFonts w:hint="eastAsia"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lang w:val="en-US" w:eastAsia="zh-CN"/>
        </w:rPr>
        <w:t>第三师图木舒克市党委全面依法治师市委员会2024年工作要点</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（师市法委发</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2024</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2</w:t>
      </w:r>
      <w:r>
        <w:rPr>
          <w:rFonts w:hint="eastAsia" w:ascii="仿宋_GB2312" w:hAnsi="仿宋_GB2312" w:eastAsia="仿宋_GB2312" w:cs="仿宋_GB2312"/>
          <w:sz w:val="32"/>
          <w:szCs w:val="32"/>
          <w:u w:val="none"/>
          <w:lang w:val="en-US" w:eastAsia="zh-CN"/>
        </w:rPr>
        <w:t>号）</w:t>
      </w:r>
      <w:r>
        <w:rPr>
          <w:rFonts w:hint="default" w:ascii="Times New Roman" w:hAnsi="Times New Roman" w:eastAsia="仿宋_GB2312" w:cs="Times New Roman"/>
          <w:sz w:val="32"/>
          <w:szCs w:val="32"/>
        </w:rPr>
        <w:t>将法治政府建设工作要求落实到重大事项决策、规范性文件管理、政务公开等法治建设方面，扎实推进法治政府建设工作，现将工作开展情况报告如下</w:t>
      </w:r>
      <w:r>
        <w:rPr>
          <w:rFonts w:hint="default" w:ascii="Times New Roman" w:hAnsi="Times New Roman" w:eastAsia="仿宋_GB2312" w:cs="Times New Roman"/>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法治政府建设</w:t>
      </w:r>
      <w:r>
        <w:rPr>
          <w:rFonts w:hint="eastAsia" w:ascii="黑体" w:hAnsi="黑体" w:eastAsia="黑体" w:cs="黑体"/>
          <w:sz w:val="32"/>
          <w:szCs w:val="32"/>
        </w:rPr>
        <w:t>基本情况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（一）加强组织领导</w:t>
      </w:r>
      <w:r>
        <w:rPr>
          <w:rFonts w:hint="eastAsia" w:ascii="楷体" w:hAnsi="楷体" w:eastAsia="楷体" w:cs="楷体"/>
          <w:sz w:val="32"/>
          <w:szCs w:val="32"/>
          <w:lang w:eastAsia="zh-CN"/>
        </w:rPr>
        <w:t>，持续强化责任落实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师市工信局</w:t>
      </w:r>
      <w:r>
        <w:rPr>
          <w:rFonts w:hint="eastAsia" w:ascii="仿宋_GB2312" w:hAnsi="仿宋_GB2312" w:eastAsia="仿宋_GB2312" w:cs="仿宋_GB2312"/>
          <w:sz w:val="32"/>
          <w:szCs w:val="32"/>
        </w:rPr>
        <w:t>党政主要负责人认真学习贯彻《</w:t>
      </w:r>
      <w:r>
        <w:rPr>
          <w:rFonts w:hint="eastAsia" w:ascii="仿宋_GB2312" w:hAnsi="仿宋_GB2312" w:eastAsia="仿宋_GB2312" w:cs="仿宋_GB2312"/>
          <w:sz w:val="32"/>
          <w:szCs w:val="32"/>
          <w:lang w:eastAsia="zh-CN"/>
        </w:rPr>
        <w:t>第三师图木舒克市关于落实党政主要负责人履行推进法治建设第一责任人职责情况列入年终述职内容工作的实施方案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（师市法委发</w:t>
      </w:r>
      <w:r>
        <w:rPr>
          <w:rFonts w:hint="eastAsia" w:ascii="仿宋_GB2312" w:hAnsi="仿宋_GB2312" w:eastAsia="仿宋_GB2312" w:cs="仿宋_GB2312"/>
          <w:sz w:val="32"/>
          <w:szCs w:val="32"/>
          <w:u w:val="none"/>
          <w:lang w:val="en-US" w:eastAsia="zh-CN"/>
        </w:rPr>
        <w:t>〔</w:t>
      </w:r>
      <w:r>
        <w:rPr>
          <w:rFonts w:hint="default" w:ascii="Times New Roman" w:hAnsi="Times New Roman" w:eastAsia="仿宋_GB2312" w:cs="Times New Roman"/>
          <w:sz w:val="32"/>
          <w:szCs w:val="32"/>
          <w:u w:val="none"/>
          <w:lang w:val="en-US" w:eastAsia="zh-CN"/>
        </w:rPr>
        <w:t>202</w:t>
      </w:r>
      <w:r>
        <w:rPr>
          <w:rFonts w:hint="eastAsia" w:ascii="Times New Roman" w:hAnsi="Times New Roman" w:eastAsia="仿宋_GB2312" w:cs="Times New Roman"/>
          <w:sz w:val="32"/>
          <w:szCs w:val="32"/>
          <w:u w:val="none"/>
          <w:lang w:val="en-US" w:eastAsia="zh-CN"/>
        </w:rPr>
        <w:t>1</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sz w:val="32"/>
          <w:szCs w:val="32"/>
          <w:u w:val="none"/>
          <w:lang w:val="en-US" w:eastAsia="zh-CN"/>
        </w:rPr>
        <w:t>5</w:t>
      </w:r>
      <w:r>
        <w:rPr>
          <w:rFonts w:hint="eastAsia" w:ascii="仿宋_GB2312" w:hAnsi="仿宋_GB2312" w:eastAsia="仿宋_GB2312" w:cs="仿宋_GB2312"/>
          <w:sz w:val="32"/>
          <w:szCs w:val="32"/>
          <w:u w:val="none"/>
          <w:lang w:val="en-US" w:eastAsia="zh-CN"/>
        </w:rPr>
        <w:t>号)</w:t>
      </w:r>
      <w:r>
        <w:rPr>
          <w:rFonts w:hint="eastAsia" w:ascii="仿宋_GB2312" w:hAnsi="仿宋_GB2312" w:eastAsia="仿宋_GB2312" w:cs="仿宋_GB2312"/>
          <w:sz w:val="32"/>
          <w:szCs w:val="32"/>
        </w:rPr>
        <w:t>，切实履行推进法治建设第一责任人职责。将法治建设纳入总体规划与年度工作计划，把加强惠企政策宣传作为促进工业企业高质量发展的重要抓手。成立法治政府建设工作领导小组，形成主要领导亲自抓、分管领导具体抓、科室负责、全员参与的法治建设工作机制。并将法治建设与抓工业经济工作同研究、同部署，落实法治建设主体责任，确保了法治建设组织领导有力。</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强化宣传教育</w:t>
      </w:r>
      <w:r>
        <w:rPr>
          <w:rFonts w:hint="eastAsia" w:ascii="楷体" w:hAnsi="楷体" w:eastAsia="楷体" w:cs="楷体"/>
          <w:sz w:val="32"/>
          <w:szCs w:val="32"/>
          <w:lang w:eastAsia="zh-CN"/>
        </w:rPr>
        <w:t>，全面提升法律素养</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持续坚持领导干部学法用法工作，组织全体干部进行普法教育。注重通过普法教育，着力提高全体人员法治思维和依法办事能力。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把学法用法与中心组学习和每周例会学习结合，将宪法、民法典、节能法等法律法规纳入学习计划，开展集中学习，严格落实“谁执法谁普法”责任机制。</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明确普法工作的重要性，日常走访企业与普法工作紧密结合，对《新疆维吾尔自治区信息化促进条例》《中华人民共和国节约能源法》《中华人民共和国消防法》和《中华人民共和国安全生产法》等法律法规宣传推行，在企业安全生产、环保督察等工作中普法先行，普法先于执法。</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 w:hAnsi="楷体" w:eastAsia="楷体" w:cs="楷体"/>
          <w:sz w:val="32"/>
          <w:szCs w:val="32"/>
        </w:rPr>
        <w:t>推进依法行政</w:t>
      </w:r>
      <w:r>
        <w:rPr>
          <w:rFonts w:hint="eastAsia" w:ascii="楷体" w:hAnsi="楷体" w:eastAsia="楷体" w:cs="楷体"/>
          <w:sz w:val="32"/>
          <w:szCs w:val="32"/>
          <w:lang w:eastAsia="zh-CN"/>
        </w:rPr>
        <w:t>，</w:t>
      </w:r>
      <w:r>
        <w:rPr>
          <w:rFonts w:hint="eastAsia" w:ascii="楷体_GB2312" w:hAnsi="楷体_GB2312" w:eastAsia="楷体_GB2312" w:cs="楷体_GB2312"/>
          <w:sz w:val="32"/>
          <w:szCs w:val="32"/>
          <w:lang w:val="en-US" w:eastAsia="zh-CN"/>
        </w:rPr>
        <w:t>依法规范行政决策程序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Times New Roman"/>
          <w:kern w:val="2"/>
          <w:sz w:val="32"/>
          <w:szCs w:val="32"/>
          <w:lang w:val="en-US" w:eastAsia="zh-CN"/>
        </w:rPr>
        <w:t>实行政府权责清单制度，全面落实政务公开。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师市工信局现有行政执法人员2名，</w:t>
      </w:r>
      <w:r>
        <w:rPr>
          <w:rFonts w:hint="eastAsia" w:ascii="Times New Roman" w:hAnsi="Times New Roman" w:eastAsia="仿宋_GB2312" w:cs="Times New Roman"/>
          <w:kern w:val="2"/>
          <w:sz w:val="32"/>
          <w:szCs w:val="32"/>
          <w:u w:val="none"/>
          <w:lang w:val="en-US" w:eastAsia="zh-CN"/>
        </w:rPr>
        <w:t>均已通过行政执法培训并成功申领全国统一执法证；</w:t>
      </w:r>
      <w:r>
        <w:rPr>
          <w:rFonts w:hint="eastAsia" w:ascii="Times New Roman" w:hAnsi="Times New Roman" w:eastAsia="仿宋_GB2312" w:cs="Times New Roman"/>
          <w:sz w:val="32"/>
          <w:szCs w:val="32"/>
          <w:u w:val="none"/>
          <w:lang w:val="en-US" w:eastAsia="zh-CN"/>
        </w:rPr>
        <w:t>承接行政职权17项，其中行政处罚2项、行政检查2项、行政许可0项、行政其他13项；</w:t>
      </w:r>
      <w:r>
        <w:rPr>
          <w:rFonts w:hint="eastAsia" w:ascii="Times New Roman" w:hAnsi="Times New Roman" w:eastAsia="仿宋_GB2312" w:cs="Times New Roman"/>
          <w:kern w:val="2"/>
          <w:sz w:val="32"/>
          <w:szCs w:val="32"/>
          <w:u w:val="none"/>
          <w:lang w:eastAsia="zh-CN"/>
        </w:rPr>
        <w:t>及时按流程将本单位</w:t>
      </w:r>
      <w:r>
        <w:rPr>
          <w:rFonts w:hint="eastAsia" w:ascii="仿宋_GB2312" w:hAnsi="仿宋_GB2312" w:eastAsia="仿宋_GB2312" w:cs="仿宋_GB2312"/>
          <w:sz w:val="32"/>
          <w:szCs w:val="32"/>
          <w:u w:val="none"/>
          <w:lang w:val="en-US" w:eastAsia="zh-CN"/>
        </w:rPr>
        <w:t>行政执法主体、行政执法人员信息、</w:t>
      </w:r>
      <w:r>
        <w:rPr>
          <w:rFonts w:hint="eastAsia" w:ascii="Times New Roman" w:hAnsi="Times New Roman" w:eastAsia="仿宋_GB2312" w:cs="Times New Roman"/>
          <w:sz w:val="32"/>
          <w:szCs w:val="32"/>
          <w:u w:val="none"/>
          <w:lang w:val="en-US" w:eastAsia="zh-CN"/>
        </w:rPr>
        <w:t>权责清单、各类行政职权办事流程</w:t>
      </w:r>
      <w:r>
        <w:rPr>
          <w:rFonts w:hint="eastAsia" w:ascii="Times New Roman" w:hAnsi="Times New Roman" w:eastAsia="仿宋_GB2312" w:cs="Times New Roman"/>
          <w:kern w:val="2"/>
          <w:sz w:val="32"/>
          <w:szCs w:val="32"/>
          <w:u w:val="none"/>
          <w:lang w:eastAsia="zh-CN"/>
        </w:rPr>
        <w:t>通过政府门户网站</w:t>
      </w:r>
      <w:r>
        <w:rPr>
          <w:rFonts w:hint="eastAsia" w:ascii="Times New Roman" w:hAnsi="Times New Roman" w:eastAsia="仿宋_GB2312" w:cs="Times New Roman"/>
          <w:sz w:val="32"/>
          <w:szCs w:val="32"/>
          <w:u w:val="none"/>
          <w:lang w:val="en-US" w:eastAsia="zh-CN"/>
        </w:rPr>
        <w:t xml:space="preserve">向社会公开。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依法规范行政决策程序。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Times New Roman" w:hAnsi="Times New Roman" w:eastAsia="仿宋_GB2312" w:cs="Times New Roman"/>
          <w:sz w:val="32"/>
          <w:szCs w:val="32"/>
          <w:u w:val="none"/>
          <w:lang w:val="en-US" w:eastAsia="zh-CN"/>
        </w:rPr>
        <w:t>2023年制定的《第三师图木舒克市促进工业经济高质量发展十条措施》等政策措施，</w:t>
      </w:r>
      <w:r>
        <w:rPr>
          <w:rFonts w:hint="eastAsia" w:ascii="Times New Roman" w:hAnsi="Times New Roman" w:eastAsia="仿宋_GB2312" w:cs="Times New Roman"/>
          <w:sz w:val="32"/>
          <w:szCs w:val="32"/>
          <w:lang w:val="en-US" w:eastAsia="zh-CN"/>
        </w:rPr>
        <w:t>均依法依规进行废止，经师市行政常务会审议通过后，现已废止。</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多种措施并举，优化法治化营商环境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FF"/>
          <w:sz w:val="32"/>
          <w:szCs w:val="32"/>
          <w:highlight w:val="yellow"/>
          <w:lang w:val="en-US" w:eastAsia="zh-CN"/>
        </w:rPr>
      </w:pPr>
      <w:r>
        <w:rPr>
          <w:rFonts w:hint="eastAsia" w:ascii="Times New Roman" w:hAnsi="Times New Roman" w:eastAsia="仿宋_GB2312" w:cs="Times New Roman"/>
          <w:sz w:val="32"/>
          <w:szCs w:val="32"/>
          <w:lang w:val="en-US" w:eastAsia="zh-CN"/>
        </w:rPr>
        <w:t>1.加快各类资金兑现进度，发挥政策纾困帮扶能效。落实兵团产业政策，加快兑现进度，切实发挥为工业及经济主体纾困帮扶能效，助力企业发展。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2.增强主动服务意识，助力企业高质量发展。一</w:t>
      </w:r>
      <w:r>
        <w:rPr>
          <w:rFonts w:hint="eastAsia"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落实一线工作法。</w:t>
      </w:r>
      <w:r>
        <w:rPr>
          <w:rFonts w:hint="eastAsia" w:ascii="Times New Roman" w:hAnsi="Times New Roman" w:eastAsia="仿宋_GB2312" w:cs="Times New Roman"/>
          <w:sz w:val="32"/>
          <w:szCs w:val="40"/>
          <w:lang w:val="en-US" w:eastAsia="zh-CN"/>
        </w:rPr>
        <w:t>组织</w:t>
      </w:r>
      <w:r>
        <w:rPr>
          <w:rFonts w:hint="default" w:ascii="Times New Roman" w:hAnsi="Times New Roman" w:eastAsia="仿宋_GB2312" w:cs="Times New Roman"/>
          <w:sz w:val="32"/>
          <w:szCs w:val="40"/>
          <w:lang w:val="en-US" w:eastAsia="zh-CN"/>
        </w:rPr>
        <w:t>召开园区主战场·企业高质量发展座谈会，</w:t>
      </w:r>
      <w:r>
        <w:rPr>
          <w:rFonts w:hint="eastAsia" w:ascii="Times New Roman" w:hAnsi="Times New Roman" w:eastAsia="仿宋_GB2312" w:cs="Times New Roman"/>
          <w:sz w:val="32"/>
          <w:szCs w:val="40"/>
          <w:lang w:val="en-US" w:eastAsia="zh-CN"/>
        </w:rPr>
        <w:t>听取</w:t>
      </w:r>
      <w:r>
        <w:rPr>
          <w:rFonts w:hint="default" w:ascii="Times New Roman" w:hAnsi="Times New Roman" w:eastAsia="仿宋_GB2312" w:cs="Times New Roman"/>
          <w:sz w:val="32"/>
          <w:szCs w:val="40"/>
          <w:lang w:val="en-US" w:eastAsia="zh-CN"/>
        </w:rPr>
        <w:t>前海建材、唐锦纺织、前海油脂、锦华城纺织、扬子江纺织</w:t>
      </w:r>
      <w:r>
        <w:rPr>
          <w:rFonts w:hint="eastAsia" w:ascii="Times New Roman" w:hAnsi="Times New Roman" w:eastAsia="仿宋_GB2312" w:cs="Times New Roman"/>
          <w:sz w:val="32"/>
          <w:szCs w:val="40"/>
          <w:lang w:val="en-US" w:eastAsia="zh-CN"/>
        </w:rPr>
        <w:t>等11</w:t>
      </w:r>
      <w:r>
        <w:rPr>
          <w:rFonts w:hint="default" w:ascii="Times New Roman" w:hAnsi="Times New Roman" w:eastAsia="仿宋_GB2312" w:cs="Times New Roman"/>
          <w:sz w:val="32"/>
          <w:szCs w:val="40"/>
          <w:lang w:val="en-US" w:eastAsia="zh-CN"/>
        </w:rPr>
        <w:t>家重点企业</w:t>
      </w:r>
      <w:r>
        <w:rPr>
          <w:rFonts w:hint="eastAsia" w:ascii="Times New Roman" w:hAnsi="Times New Roman" w:eastAsia="仿宋_GB2312" w:cs="Times New Roman"/>
          <w:sz w:val="32"/>
          <w:szCs w:val="40"/>
          <w:lang w:val="en-US" w:eastAsia="zh-CN"/>
        </w:rPr>
        <w:t>诉求</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各</w:t>
      </w:r>
      <w:r>
        <w:rPr>
          <w:rFonts w:hint="default" w:ascii="Times New Roman" w:hAnsi="Times New Roman" w:eastAsia="仿宋_GB2312" w:cs="Times New Roman"/>
          <w:sz w:val="32"/>
          <w:szCs w:val="40"/>
          <w:lang w:val="en-US" w:eastAsia="zh-CN"/>
        </w:rPr>
        <w:t>相关部门</w:t>
      </w:r>
      <w:r>
        <w:rPr>
          <w:rFonts w:hint="eastAsia" w:ascii="Times New Roman" w:hAnsi="Times New Roman" w:eastAsia="仿宋_GB2312" w:cs="Times New Roman"/>
          <w:sz w:val="32"/>
          <w:szCs w:val="40"/>
          <w:lang w:val="en-US" w:eastAsia="zh-CN"/>
        </w:rPr>
        <w:t>现场办公，逐一梳理问题、建议，逐项回应，以高效务实举措支持企业高质量发展。二</w:t>
      </w:r>
      <w:r>
        <w:rPr>
          <w:rFonts w:hint="eastAsia" w:ascii="Times New Roman" w:hAnsi="Times New Roman" w:eastAsia="仿宋_GB2312" w:cs="Times New Roman"/>
          <w:b/>
          <w:bCs/>
          <w:sz w:val="32"/>
          <w:szCs w:val="40"/>
          <w:lang w:val="en-US" w:eastAsia="zh-CN"/>
        </w:rPr>
        <w:t>是</w:t>
      </w:r>
      <w:r>
        <w:rPr>
          <w:rFonts w:hint="default" w:ascii="Times New Roman" w:hAnsi="Times New Roman" w:eastAsia="仿宋_GB2312" w:cs="Times New Roman"/>
          <w:b w:val="0"/>
          <w:bCs w:val="0"/>
          <w:color w:val="000000"/>
          <w:sz w:val="32"/>
          <w:szCs w:val="32"/>
          <w:lang w:val="en-US" w:eastAsia="zh-CN"/>
        </w:rPr>
        <w:t>加强企业梯度培育</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建立企业梯度培育库，鼓励企业申报</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小巨人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专精特新</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创新型</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企业，提升企业整体竞争力。截至</w:t>
      </w:r>
      <w:r>
        <w:rPr>
          <w:rFonts w:hint="eastAsia" w:ascii="Times New Roman" w:hAnsi="Times New Roman" w:eastAsia="仿宋_GB2312" w:cs="Times New Roman"/>
          <w:b w:val="0"/>
          <w:bCs w:val="0"/>
          <w:color w:val="000000"/>
          <w:sz w:val="32"/>
          <w:szCs w:val="32"/>
          <w:lang w:val="en-US" w:eastAsia="zh-CN"/>
        </w:rPr>
        <w:t>2024年11月</w:t>
      </w:r>
      <w:r>
        <w:rPr>
          <w:rFonts w:hint="default" w:ascii="Times New Roman" w:hAnsi="Times New Roman" w:eastAsia="仿宋_GB2312" w:cs="Times New Roman"/>
          <w:b w:val="0"/>
          <w:bCs w:val="0"/>
          <w:color w:val="000000"/>
          <w:sz w:val="32"/>
          <w:szCs w:val="32"/>
          <w:lang w:val="en-US" w:eastAsia="zh-CN"/>
        </w:rPr>
        <w:t>，师市</w:t>
      </w:r>
      <w:r>
        <w:rPr>
          <w:rFonts w:hint="eastAsia" w:ascii="Times New Roman" w:hAnsi="Times New Roman" w:eastAsia="仿宋_GB2312" w:cs="Times New Roman"/>
          <w:b w:val="0"/>
          <w:bCs w:val="0"/>
          <w:color w:val="000000"/>
          <w:sz w:val="32"/>
          <w:szCs w:val="32"/>
          <w:lang w:val="en-US" w:eastAsia="zh-CN"/>
        </w:rPr>
        <w:t>现</w:t>
      </w:r>
      <w:r>
        <w:rPr>
          <w:rFonts w:hint="default" w:ascii="Times New Roman" w:hAnsi="Times New Roman" w:eastAsia="仿宋_GB2312" w:cs="Times New Roman"/>
          <w:b w:val="0"/>
          <w:bCs w:val="0"/>
          <w:color w:val="000000"/>
          <w:sz w:val="32"/>
          <w:szCs w:val="32"/>
          <w:lang w:val="en-US" w:eastAsia="zh-CN"/>
        </w:rPr>
        <w:t>有国家级专精特新</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小巨人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企业1家</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兵团级</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专精特新</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中小企业</w:t>
      </w:r>
      <w:r>
        <w:rPr>
          <w:rFonts w:hint="eastAsia" w:ascii="Times New Roman" w:hAnsi="Times New Roman" w:eastAsia="仿宋_GB2312"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lang w:val="en-US" w:eastAsia="zh-CN"/>
        </w:rPr>
        <w:t>家，</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创新型</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企业</w:t>
      </w:r>
      <w:r>
        <w:rPr>
          <w:rFonts w:hint="eastAsia" w:ascii="Times New Roman" w:hAnsi="Times New Roman" w:eastAsia="仿宋_GB2312" w:cs="Times New Roman"/>
          <w:b w:val="0"/>
          <w:bCs w:val="0"/>
          <w:color w:val="000000"/>
          <w:sz w:val="32"/>
          <w:szCs w:val="32"/>
          <w:lang w:val="en-US" w:eastAsia="zh-CN"/>
        </w:rPr>
        <w:t>9</w:t>
      </w:r>
      <w:r>
        <w:rPr>
          <w:rFonts w:hint="default" w:ascii="Times New Roman" w:hAnsi="Times New Roman" w:eastAsia="仿宋_GB2312" w:cs="Times New Roman"/>
          <w:b w:val="0"/>
          <w:bCs w:val="0"/>
          <w:color w:val="000000"/>
          <w:sz w:val="32"/>
          <w:szCs w:val="32"/>
          <w:lang w:val="en-US" w:eastAsia="zh-CN"/>
        </w:rPr>
        <w:t>家</w:t>
      </w:r>
      <w:r>
        <w:rPr>
          <w:rFonts w:hint="eastAsia" w:ascii="Times New Roman" w:hAnsi="Times New Roman" w:eastAsia="仿宋_GB2312" w:cs="Times New Roman"/>
          <w:b w:val="0"/>
          <w:bCs w:val="0"/>
          <w:color w:val="000000"/>
          <w:sz w:val="32"/>
          <w:szCs w:val="32"/>
          <w:lang w:val="en-US" w:eastAsia="zh-CN"/>
        </w:rPr>
        <w:t>，国家级“绿色工厂”1家，兵团制造业数字化转型标杆企业1家</w:t>
      </w:r>
      <w:bookmarkStart w:id="0" w:name="_GoBack"/>
      <w:bookmarkEnd w:id="0"/>
      <w:r>
        <w:rPr>
          <w:rFonts w:hint="eastAsia"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sz w:val="32"/>
          <w:szCs w:val="40"/>
          <w:lang w:val="en-US" w:eastAsia="zh-CN"/>
        </w:rPr>
        <w:t>全力推动企业创新能力提升。三</w:t>
      </w:r>
      <w:r>
        <w:rPr>
          <w:rFonts w:hint="eastAsia" w:ascii="Times New Roman" w:hAnsi="Times New Roman" w:eastAsia="仿宋_GB2312" w:cs="Times New Roman"/>
          <w:b/>
          <w:bCs/>
          <w:sz w:val="32"/>
          <w:szCs w:val="32"/>
          <w:lang w:val="en-US" w:eastAsia="zh-CN"/>
        </w:rPr>
        <w:t>是</w:t>
      </w:r>
      <w:r>
        <w:rPr>
          <w:rFonts w:hint="eastAsia" w:ascii="Times New Roman" w:hAnsi="Times New Roman" w:eastAsia="仿宋_GB2312" w:cs="Times New Roman"/>
          <w:sz w:val="32"/>
          <w:szCs w:val="32"/>
          <w:lang w:val="en-US" w:eastAsia="zh-CN"/>
        </w:rPr>
        <w:t>开展工业企业安全生产指导服务，重点围绕燃气使用安全、极端天气应对、风险分级管控等方面进行服务指导，坚决消除企业安全生产隐患，筑牢安全生产防线。</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筑牢安全防线，依法开展安全生产检查</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Times New Roman" w:hAnsi="Times New Roman" w:eastAsia="仿宋_GB2312" w:cs="Times New Roman"/>
          <w:b w:val="0"/>
          <w:bCs w:val="0"/>
          <w:i w:val="0"/>
          <w:iCs w:val="0"/>
          <w:color w:val="auto"/>
          <w:kern w:val="2"/>
          <w:sz w:val="32"/>
          <w:szCs w:val="32"/>
          <w:highlight w:val="none"/>
          <w:u w:val="none"/>
          <w:vertAlign w:val="baseline"/>
          <w:lang w:val="en-US" w:eastAsia="zh-CN" w:bidi="ar-SA"/>
        </w:rPr>
        <w:t>今年以来，工信局与发改委、应急管理局、农业农村局、市场监督管理局等部门加强沟通协作，通过消防安全专项检查、</w:t>
      </w:r>
      <w:r>
        <w:rPr>
          <w:rFonts w:hint="default" w:ascii="Times New Roman" w:hAnsi="Times New Roman" w:eastAsia="仿宋_GB2312" w:cs="Times New Roman"/>
          <w:b w:val="0"/>
          <w:bCs w:val="0"/>
          <w:sz w:val="32"/>
          <w:szCs w:val="32"/>
          <w:u w:val="none"/>
          <w:lang w:val="en-US" w:eastAsia="zh-CN"/>
        </w:rPr>
        <w:t>燃气安全</w:t>
      </w:r>
      <w:r>
        <w:rPr>
          <w:rFonts w:hint="eastAsia" w:ascii="Times New Roman" w:hAnsi="Times New Roman" w:eastAsia="仿宋_GB2312" w:cs="Times New Roman"/>
          <w:b w:val="0"/>
          <w:bCs w:val="0"/>
          <w:sz w:val="32"/>
          <w:szCs w:val="32"/>
          <w:u w:val="none"/>
          <w:lang w:val="en-US" w:eastAsia="zh-CN"/>
        </w:rPr>
        <w:t>、特种设备安全</w:t>
      </w:r>
      <w:r>
        <w:rPr>
          <w:rFonts w:hint="default" w:ascii="Times New Roman" w:hAnsi="Times New Roman" w:eastAsia="仿宋_GB2312" w:cs="Times New Roman"/>
          <w:b w:val="0"/>
          <w:bCs w:val="0"/>
          <w:sz w:val="32"/>
          <w:szCs w:val="32"/>
          <w:u w:val="none"/>
          <w:lang w:val="en-US" w:eastAsia="zh-CN"/>
        </w:rPr>
        <w:t>专项检查</w:t>
      </w:r>
      <w:r>
        <w:rPr>
          <w:rFonts w:hint="eastAsia"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val="en-US" w:eastAsia="zh-CN"/>
        </w:rPr>
        <w:t>夜间巡查暗访</w:t>
      </w:r>
      <w:r>
        <w:rPr>
          <w:rFonts w:hint="eastAsia" w:ascii="Times New Roman" w:hAnsi="Times New Roman" w:eastAsia="仿宋_GB2312" w:cs="Times New Roman"/>
          <w:b w:val="0"/>
          <w:bCs w:val="0"/>
          <w:sz w:val="32"/>
          <w:szCs w:val="32"/>
          <w:u w:val="none"/>
          <w:lang w:val="en-US" w:eastAsia="zh-CN"/>
        </w:rPr>
        <w:t>、工业企业全覆盖隐患摸排等方式，帮助发现企业隐患问题并督促整改清零。</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存在的问题</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（一）普法</w:t>
      </w:r>
      <w:r>
        <w:rPr>
          <w:rFonts w:hint="eastAsia" w:ascii="楷体" w:hAnsi="楷体" w:eastAsia="楷体" w:cs="楷体"/>
          <w:sz w:val="32"/>
          <w:szCs w:val="32"/>
        </w:rPr>
        <w:t>宣传方式较单一。</w:t>
      </w:r>
      <w:r>
        <w:rPr>
          <w:rFonts w:hint="eastAsia" w:ascii="仿宋" w:hAnsi="仿宋" w:eastAsia="仿宋" w:cs="仿宋"/>
          <w:sz w:val="32"/>
          <w:szCs w:val="32"/>
        </w:rPr>
        <w:t>普遍开展悬挂宣传横幅、发放宣传资料、入企讲课等方式进行</w:t>
      </w:r>
      <w:r>
        <w:rPr>
          <w:rFonts w:hint="eastAsia" w:ascii="仿宋" w:hAnsi="仿宋" w:eastAsia="仿宋" w:cs="仿宋"/>
          <w:sz w:val="32"/>
          <w:szCs w:val="32"/>
          <w:lang w:eastAsia="zh-CN"/>
        </w:rPr>
        <w:t>，法治文化产品单一，缺少更加创新、更具影响、更为直观的普法宣传产品</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（二）“送法进企”力度还有待加强。</w:t>
      </w:r>
      <w:r>
        <w:rPr>
          <w:rFonts w:hint="eastAsia" w:ascii="仿宋_GB2312" w:hAnsi="仿宋_GB2312" w:eastAsia="仿宋_GB2312" w:cs="仿宋_GB2312"/>
          <w:sz w:val="32"/>
          <w:szCs w:val="32"/>
          <w:lang w:val="en-US" w:eastAsia="zh-CN"/>
        </w:rPr>
        <w:t>政策执行力度不够，对政策理解不够透彻，学习不够深入，对政策把握不够准确，导致政策执行效率不够高，落实不够细。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（三）执法能力有待提升。</w:t>
      </w:r>
      <w:r>
        <w:rPr>
          <w:rFonts w:hint="eastAsia" w:ascii="仿宋" w:hAnsi="仿宋" w:eastAsia="仿宋" w:cs="仿宋"/>
          <w:sz w:val="32"/>
          <w:szCs w:val="32"/>
          <w:lang w:eastAsia="zh-CN"/>
        </w:rPr>
        <w:t>师市工业企业分布范围广，执法要求高、难度大，执法人员既要懂得法律政策，又要通晓本行业业务，在开展监督检查等工作时，工信局执法队伍人员有限，又缺乏专业培训，导致普法的广度和深度都有待提升。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、下一步工作计划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持续</w:t>
      </w:r>
      <w:r>
        <w:rPr>
          <w:rFonts w:hint="eastAsia" w:ascii="楷体" w:hAnsi="楷体" w:eastAsia="楷体" w:cs="楷体"/>
          <w:sz w:val="32"/>
          <w:szCs w:val="32"/>
        </w:rPr>
        <w:t>提升全局干部职工学法用法能力。</w:t>
      </w:r>
      <w:r>
        <w:rPr>
          <w:rFonts w:hint="eastAsia" w:ascii="仿宋" w:hAnsi="仿宋" w:eastAsia="仿宋" w:cs="仿宋"/>
          <w:sz w:val="32"/>
          <w:szCs w:val="32"/>
        </w:rPr>
        <w:t>进一步健全落实领导责任制及开展中心组学法制度，坚持“谁执法谁普法”的原则，健全学法用法制度，全面提高依法行政的水平。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（二）把法治建设工作与实际联系起来。</w:t>
      </w:r>
      <w:r>
        <w:rPr>
          <w:rFonts w:hint="eastAsia" w:ascii="仿宋" w:hAnsi="仿宋" w:eastAsia="仿宋" w:cs="仿宋"/>
          <w:sz w:val="32"/>
          <w:szCs w:val="32"/>
        </w:rPr>
        <w:t>紧紧把握时代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textAlignment w:val="auto"/>
      </w:pPr>
      <w:r>
        <w:rPr>
          <w:rFonts w:hint="eastAsia" w:ascii="仿宋" w:hAnsi="仿宋" w:eastAsia="仿宋" w:cs="仿宋"/>
          <w:sz w:val="32"/>
          <w:szCs w:val="32"/>
        </w:rPr>
        <w:t>脉搏，全面提高全局工作人员的工作能力，以法治手段，加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仿宋" w:hAnsi="仿宋" w:eastAsia="仿宋" w:cs="仿宋"/>
          <w:sz w:val="32"/>
          <w:szCs w:val="32"/>
        </w:rPr>
      </w:pPr>
      <w:r>
        <w:rPr>
          <w:rFonts w:hint="eastAsia" w:ascii="仿宋" w:hAnsi="仿宋" w:eastAsia="仿宋" w:cs="仿宋"/>
          <w:sz w:val="32"/>
          <w:szCs w:val="32"/>
        </w:rPr>
        <w:t>大惠企政策宣传，优化营商环境，引领师市工业经济高质量发展。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（三）继续深入推进主题法治宣传教育活动。</w:t>
      </w:r>
      <w:r>
        <w:rPr>
          <w:rFonts w:hint="eastAsia" w:ascii="仿宋" w:hAnsi="仿宋" w:eastAsia="仿宋" w:cs="仿宋"/>
          <w:sz w:val="32"/>
          <w:szCs w:val="32"/>
        </w:rPr>
        <w:t>提高各工业企业对法治宣传教育重要性的认识，要求各工业企业制定完善法治宣传教育规划及年度实施计划，同时建立健全法治教育相关台账，便于企业更好的学法用法。同时不断创新宣</w:t>
      </w:r>
      <w:r>
        <w:rPr>
          <w:rFonts w:hint="eastAsia" w:ascii="仿宋_GB2312" w:hAnsi="仿宋_GB2312" w:eastAsia="仿宋_GB2312" w:cs="仿宋_GB2312"/>
          <w:sz w:val="32"/>
          <w:szCs w:val="32"/>
        </w:rPr>
        <w:t>传媒介和载体，利用微信、展板、</w:t>
      </w:r>
      <w:r>
        <w:rPr>
          <w:rFonts w:hint="default" w:ascii="Times New Roman" w:hAnsi="Times New Roman" w:eastAsia="仿宋_GB2312" w:cs="Times New Roman"/>
          <w:sz w:val="32"/>
          <w:szCs w:val="32"/>
        </w:rPr>
        <w:t>LED</w:t>
      </w:r>
      <w:r>
        <w:rPr>
          <w:rFonts w:hint="eastAsia" w:ascii="仿宋_GB2312" w:hAnsi="仿宋_GB2312" w:eastAsia="仿宋_GB2312" w:cs="仿宋_GB2312"/>
          <w:sz w:val="32"/>
          <w:szCs w:val="32"/>
        </w:rPr>
        <w:t>屏等多种方式开展企业法治宣传活动，使法治宣传教育更好的融入企业文化建设当中，让“依法治企”活动得到有效落实。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b w:val="0"/>
          <w:bCs/>
          <w:kern w:val="2"/>
          <w:sz w:val="32"/>
          <w:szCs w:val="24"/>
          <w:lang w:val="en-US" w:eastAsia="zh-CN" w:bidi="ar-SA"/>
        </w:rPr>
      </w:pPr>
      <w:r>
        <w:rPr>
          <w:rFonts w:hint="eastAsia" w:ascii="仿宋_GB2312" w:hAnsi="仿宋_GB2312" w:eastAsia="仿宋_GB2312" w:cs="仿宋_GB2312"/>
          <w:b w:val="0"/>
          <w:bCs/>
          <w:kern w:val="2"/>
          <w:sz w:val="32"/>
          <w:szCs w:val="24"/>
          <w:lang w:val="en-US" w:eastAsia="zh-CN" w:bidi="ar-SA"/>
        </w:rPr>
        <w:t>第三师工业和信息化局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kern w:val="2"/>
          <w:sz w:val="32"/>
          <w:szCs w:val="24"/>
          <w:lang w:val="en-US" w:eastAsia="zh-CN" w:bidi="ar-SA"/>
        </w:rPr>
        <w:t>202</w:t>
      </w:r>
      <w:r>
        <w:rPr>
          <w:rFonts w:hint="eastAsia" w:ascii="Times New Roman" w:hAnsi="Times New Roman" w:eastAsia="仿宋_GB2312" w:cs="Times New Roman"/>
          <w:b w:val="0"/>
          <w:bCs/>
          <w:kern w:val="2"/>
          <w:sz w:val="32"/>
          <w:szCs w:val="24"/>
          <w:lang w:val="en-US" w:eastAsia="zh-CN" w:bidi="ar-SA"/>
        </w:rPr>
        <w:t>4</w:t>
      </w:r>
      <w:r>
        <w:rPr>
          <w:rFonts w:hint="default" w:ascii="Times New Roman" w:hAnsi="Times New Roman" w:eastAsia="仿宋_GB2312" w:cs="Times New Roman"/>
          <w:b w:val="0"/>
          <w:bCs/>
          <w:kern w:val="2"/>
          <w:sz w:val="32"/>
          <w:szCs w:val="24"/>
          <w:lang w:val="en-US" w:eastAsia="zh-CN" w:bidi="ar-SA"/>
        </w:rPr>
        <w:t>年</w:t>
      </w:r>
      <w:r>
        <w:rPr>
          <w:rFonts w:hint="eastAsia" w:ascii="Times New Roman" w:hAnsi="Times New Roman" w:eastAsia="仿宋_GB2312" w:cs="Times New Roman"/>
          <w:b w:val="0"/>
          <w:bCs/>
          <w:kern w:val="2"/>
          <w:sz w:val="32"/>
          <w:szCs w:val="24"/>
          <w:lang w:val="en-US" w:eastAsia="zh-CN" w:bidi="ar-SA"/>
        </w:rPr>
        <w:t>11</w:t>
      </w:r>
      <w:r>
        <w:rPr>
          <w:rFonts w:hint="default" w:ascii="Times New Roman" w:hAnsi="Times New Roman" w:eastAsia="仿宋_GB2312" w:cs="Times New Roman"/>
          <w:b w:val="0"/>
          <w:bCs/>
          <w:kern w:val="2"/>
          <w:sz w:val="32"/>
          <w:szCs w:val="24"/>
          <w:lang w:val="en-US" w:eastAsia="zh-CN" w:bidi="ar-SA"/>
        </w:rPr>
        <w:t>月</w:t>
      </w:r>
      <w:r>
        <w:rPr>
          <w:rFonts w:hint="eastAsia" w:ascii="Times New Roman" w:hAnsi="Times New Roman" w:eastAsia="仿宋_GB2312" w:cs="Times New Roman"/>
          <w:b w:val="0"/>
          <w:bCs/>
          <w:kern w:val="2"/>
          <w:sz w:val="32"/>
          <w:szCs w:val="24"/>
          <w:lang w:val="en-US" w:eastAsia="zh-CN" w:bidi="ar-SA"/>
        </w:rPr>
        <w:t>24</w:t>
      </w:r>
      <w:r>
        <w:rPr>
          <w:rFonts w:hint="default" w:ascii="Times New Roman" w:hAnsi="Times New Roman" w:eastAsia="仿宋_GB2312" w:cs="Times New Roman"/>
          <w:b w:val="0"/>
          <w:bCs/>
          <w:kern w:val="2"/>
          <w:sz w:val="32"/>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FF954"/>
    <w:multiLevelType w:val="singleLevel"/>
    <w:tmpl w:val="9A6FF954"/>
    <w:lvl w:ilvl="0" w:tentative="0">
      <w:start w:val="2"/>
      <w:numFmt w:val="chineseCounting"/>
      <w:suff w:val="nothing"/>
      <w:lvlText w:val="（%1）"/>
      <w:lvlJc w:val="left"/>
      <w:rPr>
        <w:rFonts w:hint="eastAsia"/>
      </w:rPr>
    </w:lvl>
  </w:abstractNum>
  <w:abstractNum w:abstractNumId="1">
    <w:nsid w:val="B6562FC6"/>
    <w:multiLevelType w:val="singleLevel"/>
    <w:tmpl w:val="B6562FC6"/>
    <w:lvl w:ilvl="0" w:tentative="0">
      <w:start w:val="2"/>
      <w:numFmt w:val="chineseCounting"/>
      <w:suff w:val="nothing"/>
      <w:lvlText w:val="%1、"/>
      <w:lvlJc w:val="left"/>
      <w:rPr>
        <w:rFonts w:hint="eastAsia"/>
      </w:rPr>
    </w:lvl>
  </w:abstractNum>
  <w:abstractNum w:abstractNumId="2">
    <w:nsid w:val="3B2B3ACA"/>
    <w:multiLevelType w:val="singleLevel"/>
    <w:tmpl w:val="3B2B3ACA"/>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mNjOTM4MWU5M2MyNzJhMTM3OTM5ZTJiY2U1Y2EifQ=="/>
  </w:docVars>
  <w:rsids>
    <w:rsidRoot w:val="08926D24"/>
    <w:rsid w:val="02CC3C66"/>
    <w:rsid w:val="066041C9"/>
    <w:rsid w:val="06E97044"/>
    <w:rsid w:val="08926D24"/>
    <w:rsid w:val="113B36A1"/>
    <w:rsid w:val="19D01015"/>
    <w:rsid w:val="1A0B2E49"/>
    <w:rsid w:val="26E674DD"/>
    <w:rsid w:val="27830F8B"/>
    <w:rsid w:val="43CB2B76"/>
    <w:rsid w:val="444D1123"/>
    <w:rsid w:val="45CB7FFD"/>
    <w:rsid w:val="5AF05996"/>
    <w:rsid w:val="60331D81"/>
    <w:rsid w:val="607C2637"/>
    <w:rsid w:val="6FBD0EA8"/>
    <w:rsid w:val="7AF7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99"/>
    <w:pPr>
      <w:ind w:firstLine="624" w:firstLineChars="195"/>
    </w:pPr>
    <w:rPr>
      <w:rFonts w:ascii="仿宋_GB2312" w:hAnsi="Times New Roman" w:eastAsia="仿宋_GB2312"/>
      <w:sz w:val="32"/>
    </w:r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Body Text First Indent"/>
    <w:basedOn w:val="6"/>
    <w:qFormat/>
    <w:uiPriority w:val="99"/>
  </w:style>
  <w:style w:type="paragraph" w:styleId="6">
    <w:name w:val="Body Text"/>
    <w:basedOn w:val="1"/>
    <w:next w:val="5"/>
    <w:qFormat/>
    <w:uiPriority w:val="99"/>
    <w:pPr>
      <w:autoSpaceDE w:val="0"/>
      <w:autoSpaceDN w:val="0"/>
      <w:spacing w:line="580" w:lineRule="exact"/>
    </w:pPr>
    <w:rPr>
      <w:rFonts w:ascii="仿宋_GB2312" w:hAnsi="Times New Roman" w:eastAsia="仿宋_GB2312"/>
      <w:spacing w:val="-20"/>
      <w:sz w:val="32"/>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1696</Words>
  <Characters>1726</Characters>
  <Lines>0</Lines>
  <Paragraphs>0</Paragraphs>
  <TotalTime>8</TotalTime>
  <ScaleCrop>false</ScaleCrop>
  <LinksUpToDate>false</LinksUpToDate>
  <CharactersWithSpaces>1729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2022-11-17T03:21:00Z</dcterms:created>
  <dc:creator>灵魂摆渡人</dc:creator>
  <cp:lastModifiedBy>Administrator</cp:lastModifiedBy>
  <cp:lastPrinted>2025-03-25T03:06:25Z</cp:lastPrinted>
  <dcterms:modified xsi:type="dcterms:W3CDTF">2025-03-25T03:09:08Z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E17C44D3B6ED4EA9B441C5A66E47B8F5_13</vt:lpwstr>
  </property>
</Properties>
</file>