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25388">
      <w:pPr>
        <w:adjustRightInd w:val="0"/>
        <w:snapToGrid w:val="0"/>
        <w:jc w:val="center"/>
        <w:rPr>
          <w:rFonts w:hint="eastAsia" w:ascii="方正小标宋简体" w:hAnsi="方正小标宋简体" w:eastAsia="方正小标宋简体" w:cs="方正小标宋简体"/>
          <w:color w:val="FF0000"/>
          <w:sz w:val="44"/>
          <w:szCs w:val="44"/>
        </w:rPr>
      </w:pPr>
      <w:r>
        <w:rPr>
          <w:rFonts w:hint="eastAsia" w:ascii="方正小标宋简体" w:hAnsi="方正小标宋简体" w:eastAsia="方正小标宋简体" w:cs="方正小标宋简体"/>
          <w:sz w:val="44"/>
          <w:szCs w:val="44"/>
          <w:lang w:eastAsia="zh-CN"/>
        </w:rPr>
        <w:t>兵团分区</w:t>
      </w:r>
      <w:r>
        <w:rPr>
          <w:rFonts w:hint="eastAsia" w:ascii="方正小标宋简体" w:hAnsi="方正小标宋简体" w:eastAsia="方正小标宋简体" w:cs="方正小标宋简体"/>
          <w:sz w:val="44"/>
          <w:szCs w:val="44"/>
        </w:rPr>
        <w:t>生态环境局关于</w:t>
      </w: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6</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sz w:val="44"/>
          <w:szCs w:val="44"/>
          <w:lang w:val="en-US" w:eastAsia="zh-CN"/>
        </w:rPr>
        <w:t>9</w:t>
      </w:r>
      <w:r>
        <w:rPr>
          <w:rFonts w:hint="eastAsia" w:ascii="方正小标宋简体" w:hAnsi="方正小标宋简体" w:eastAsia="方正小标宋简体" w:cs="方正小标宋简体"/>
          <w:color w:val="auto"/>
          <w:sz w:val="44"/>
          <w:szCs w:val="44"/>
        </w:rPr>
        <w:t>月</w:t>
      </w:r>
      <w:r>
        <w:rPr>
          <w:rFonts w:hint="eastAsia" w:ascii="方正小标宋简体" w:hAnsi="方正小标宋简体" w:eastAsia="方正小标宋简体" w:cs="方正小标宋简体"/>
          <w:color w:val="auto"/>
          <w:sz w:val="44"/>
          <w:szCs w:val="44"/>
          <w:lang w:val="en-US" w:eastAsia="zh-CN"/>
        </w:rPr>
        <w:t>23</w:t>
      </w:r>
      <w:r>
        <w:rPr>
          <w:rFonts w:hint="eastAsia" w:ascii="方正小标宋简体" w:hAnsi="方正小标宋简体" w:eastAsia="方正小标宋简体" w:cs="方正小标宋简体"/>
          <w:color w:val="auto"/>
          <w:sz w:val="44"/>
          <w:szCs w:val="44"/>
        </w:rPr>
        <w:t>日</w:t>
      </w:r>
    </w:p>
    <w:p w14:paraId="322D7F4B">
      <w:pPr>
        <w:adjustRightInd w:val="0"/>
        <w:snapToGrid w:val="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拟作出的建设项目环境影响评价</w:t>
      </w:r>
    </w:p>
    <w:p w14:paraId="76D71732">
      <w:pPr>
        <w:adjustRightInd w:val="0"/>
        <w:snapToGrid w:val="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文件审批意见的公示</w:t>
      </w:r>
    </w:p>
    <w:p w14:paraId="62DA75A3">
      <w:pPr>
        <w:adjustRightInd w:val="0"/>
        <w:snapToGrid w:val="0"/>
        <w:jc w:val="center"/>
        <w:rPr>
          <w:rFonts w:ascii="微软雅黑" w:hAnsi="微软雅黑" w:eastAsia="微软雅黑" w:cs="微软雅黑"/>
          <w:sz w:val="30"/>
          <w:szCs w:val="30"/>
        </w:rPr>
      </w:pPr>
    </w:p>
    <w:p w14:paraId="3C88806A">
      <w:pPr>
        <w:adjustRightInd w:val="0"/>
        <w:snapToGrid w:val="0"/>
        <w:spacing w:line="600" w:lineRule="exact"/>
        <w:ind w:firstLine="640" w:firstLineChars="200"/>
        <w:jc w:val="left"/>
        <w:rPr>
          <w:rFonts w:ascii="仿宋" w:hAnsi="仿宋" w:eastAsia="仿宋" w:cs="仿宋"/>
          <w:color w:val="FF0000"/>
          <w:sz w:val="32"/>
          <w:szCs w:val="32"/>
        </w:rPr>
      </w:pPr>
      <w:r>
        <w:rPr>
          <w:rFonts w:hint="eastAsia" w:ascii="仿宋" w:hAnsi="仿宋" w:eastAsia="仿宋" w:cs="仿宋"/>
          <w:sz w:val="32"/>
          <w:szCs w:val="32"/>
        </w:rPr>
        <w:t>根据建设项目环境影响评价审批程序的有关规定，经</w:t>
      </w:r>
      <w:r>
        <w:rPr>
          <w:rFonts w:hint="default" w:ascii="Times New Roman" w:hAnsi="Times New Roman" w:eastAsia="仿宋" w:cs="Times New Roman"/>
          <w:sz w:val="32"/>
          <w:szCs w:val="32"/>
        </w:rPr>
        <w:t>审查，</w:t>
      </w:r>
      <w:r>
        <w:rPr>
          <w:rFonts w:hint="default" w:ascii="Times New Roman" w:hAnsi="Times New Roman" w:eastAsia="仿宋" w:cs="Times New Roman"/>
          <w:sz w:val="32"/>
          <w:szCs w:val="32"/>
          <w:lang w:eastAsia="zh-CN"/>
        </w:rPr>
        <w:t>202</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w:t>
      </w:r>
      <w:r>
        <w:rPr>
          <w:rFonts w:hint="eastAsia" w:ascii="Times New Roman" w:hAnsi="Times New Roman" w:eastAsia="仿宋" w:cs="Times New Roman"/>
          <w:sz w:val="32"/>
          <w:szCs w:val="32"/>
          <w:lang w:val="en-US" w:eastAsia="zh-CN"/>
        </w:rPr>
        <w:t>9</w:t>
      </w:r>
      <w:r>
        <w:rPr>
          <w:rFonts w:hint="default"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23</w:t>
      </w:r>
      <w:r>
        <w:rPr>
          <w:rFonts w:hint="default" w:ascii="Times New Roman" w:hAnsi="Times New Roman" w:eastAsia="仿宋" w:cs="Times New Roman"/>
          <w:sz w:val="32"/>
          <w:szCs w:val="32"/>
        </w:rPr>
        <w:t>日我局拟对</w:t>
      </w:r>
      <w:r>
        <w:rPr>
          <w:rFonts w:hint="eastAsia"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个建设项目环境影响评价文件作出审批意见。为保证建设项目审查工作的严肃性和公正性，现将拟作出审批意见的环境影响评价文件基本情况予以公示。公示期为</w:t>
      </w:r>
      <w:r>
        <w:rPr>
          <w:rFonts w:hint="default" w:ascii="Times New Roman" w:hAnsi="Times New Roman" w:eastAsia="仿宋" w:cs="Times New Roman"/>
          <w:color w:val="auto"/>
          <w:sz w:val="32"/>
          <w:szCs w:val="32"/>
          <w:lang w:eastAsia="zh-CN"/>
        </w:rPr>
        <w:t>202</w:t>
      </w:r>
      <w:r>
        <w:rPr>
          <w:rFonts w:hint="eastAsia" w:ascii="Times New Roman" w:hAnsi="Times New Roman" w:eastAsia="仿宋" w:cs="Times New Roman"/>
          <w:color w:val="auto"/>
          <w:sz w:val="32"/>
          <w:szCs w:val="32"/>
          <w:lang w:val="en-US" w:eastAsia="zh-CN"/>
        </w:rPr>
        <w:t>6</w:t>
      </w:r>
      <w:r>
        <w:rPr>
          <w:rFonts w:hint="default" w:ascii="Times New Roman" w:hAnsi="Times New Roman" w:eastAsia="仿宋" w:cs="Times New Roman"/>
          <w:color w:val="auto"/>
          <w:sz w:val="32"/>
          <w:szCs w:val="32"/>
        </w:rPr>
        <w:t>年</w:t>
      </w:r>
      <w:r>
        <w:rPr>
          <w:rFonts w:hint="eastAsia" w:ascii="Times New Roman" w:hAnsi="Times New Roman" w:eastAsia="仿宋" w:cs="Times New Roman"/>
          <w:color w:val="auto"/>
          <w:sz w:val="32"/>
          <w:szCs w:val="32"/>
          <w:lang w:val="en-US" w:eastAsia="zh-CN"/>
        </w:rPr>
        <w:t>9</w:t>
      </w:r>
      <w:r>
        <w:rPr>
          <w:rFonts w:hint="default" w:ascii="Times New Roman" w:hAnsi="Times New Roman" w:eastAsia="仿宋" w:cs="Times New Roman"/>
          <w:color w:val="auto"/>
          <w:sz w:val="32"/>
          <w:szCs w:val="32"/>
        </w:rPr>
        <w:t>月</w:t>
      </w:r>
      <w:r>
        <w:rPr>
          <w:rFonts w:hint="eastAsia" w:ascii="Times New Roman" w:hAnsi="Times New Roman" w:eastAsia="仿宋" w:cs="Times New Roman"/>
          <w:color w:val="auto"/>
          <w:sz w:val="32"/>
          <w:szCs w:val="32"/>
          <w:lang w:val="en-US" w:eastAsia="zh-CN"/>
        </w:rPr>
        <w:t>23</w:t>
      </w:r>
      <w:r>
        <w:rPr>
          <w:rFonts w:hint="default" w:ascii="Times New Roman" w:hAnsi="Times New Roman" w:eastAsia="仿宋" w:cs="Times New Roman"/>
          <w:color w:val="auto"/>
          <w:sz w:val="32"/>
          <w:szCs w:val="32"/>
        </w:rPr>
        <w:t>日－</w:t>
      </w:r>
      <w:r>
        <w:rPr>
          <w:rFonts w:hint="default" w:ascii="Times New Roman" w:hAnsi="Times New Roman" w:eastAsia="仿宋" w:cs="Times New Roman"/>
          <w:color w:val="auto"/>
          <w:sz w:val="32"/>
          <w:szCs w:val="32"/>
          <w:lang w:eastAsia="zh-CN"/>
        </w:rPr>
        <w:t>202</w:t>
      </w:r>
      <w:r>
        <w:rPr>
          <w:rFonts w:hint="eastAsia" w:ascii="Times New Roman" w:hAnsi="Times New Roman" w:eastAsia="仿宋" w:cs="Times New Roman"/>
          <w:color w:val="auto"/>
          <w:sz w:val="32"/>
          <w:szCs w:val="32"/>
          <w:lang w:val="en-US" w:eastAsia="zh-CN"/>
        </w:rPr>
        <w:t>6</w:t>
      </w:r>
      <w:r>
        <w:rPr>
          <w:rFonts w:hint="default" w:ascii="Times New Roman" w:hAnsi="Times New Roman" w:eastAsia="仿宋" w:cs="Times New Roman"/>
          <w:color w:val="auto"/>
          <w:sz w:val="32"/>
          <w:szCs w:val="32"/>
        </w:rPr>
        <w:t>年</w:t>
      </w:r>
      <w:r>
        <w:rPr>
          <w:rFonts w:hint="eastAsia" w:ascii="Times New Roman" w:hAnsi="Times New Roman" w:eastAsia="仿宋" w:cs="Times New Roman"/>
          <w:color w:val="auto"/>
          <w:sz w:val="32"/>
          <w:szCs w:val="32"/>
          <w:lang w:val="en-US" w:eastAsia="zh-CN"/>
        </w:rPr>
        <w:t>9</w:t>
      </w:r>
      <w:r>
        <w:rPr>
          <w:rFonts w:hint="default" w:ascii="Times New Roman" w:hAnsi="Times New Roman" w:eastAsia="仿宋" w:cs="Times New Roman"/>
          <w:color w:val="auto"/>
          <w:sz w:val="32"/>
          <w:szCs w:val="32"/>
        </w:rPr>
        <w:t>月</w:t>
      </w:r>
      <w:r>
        <w:rPr>
          <w:rFonts w:hint="eastAsia" w:ascii="Times New Roman" w:hAnsi="Times New Roman" w:eastAsia="仿宋" w:cs="Times New Roman"/>
          <w:color w:val="auto"/>
          <w:sz w:val="32"/>
          <w:szCs w:val="32"/>
          <w:lang w:val="en-US" w:eastAsia="zh-CN"/>
        </w:rPr>
        <w:t>30</w:t>
      </w:r>
      <w:r>
        <w:rPr>
          <w:rFonts w:hint="default" w:ascii="Times New Roman" w:hAnsi="Times New Roman" w:eastAsia="仿宋" w:cs="Times New Roman"/>
          <w:color w:val="auto"/>
          <w:sz w:val="32"/>
          <w:szCs w:val="32"/>
        </w:rPr>
        <w:t>日（5个工作日）。</w:t>
      </w:r>
    </w:p>
    <w:p w14:paraId="02CD5D35">
      <w:pPr>
        <w:adjustRightInd w:val="0"/>
        <w:snapToGrid w:val="0"/>
        <w:spacing w:line="600" w:lineRule="exact"/>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rPr>
        <w:t>听证权利告知：依据《中华人民共和国行政许可法》，自公示起5日内申请人、利害关系人可对拟作出的建设项目环境影响评价文件审批意见要求听证。</w:t>
      </w:r>
    </w:p>
    <w:p w14:paraId="6E1D4CCC">
      <w:pPr>
        <w:adjustRightInd w:val="0"/>
        <w:snapToGrid w:val="0"/>
        <w:spacing w:line="600" w:lineRule="exact"/>
        <w:ind w:firstLine="640" w:firstLineChars="200"/>
        <w:jc w:val="left"/>
        <w:rPr>
          <w:rFonts w:hint="default" w:ascii="仿宋" w:hAnsi="仿宋" w:eastAsia="仿宋" w:cs="仿宋"/>
          <w:color w:val="000000"/>
          <w:sz w:val="32"/>
          <w:szCs w:val="32"/>
          <w:lang w:val="en-US" w:eastAsia="zh-CN"/>
        </w:rPr>
      </w:pPr>
      <w:r>
        <w:rPr>
          <w:rFonts w:hint="eastAsia" w:ascii="仿宋" w:hAnsi="仿宋" w:eastAsia="仿宋" w:cs="仿宋"/>
          <w:sz w:val="32"/>
          <w:szCs w:val="32"/>
        </w:rPr>
        <w:t>联系电话：0998-6868865</w:t>
      </w:r>
    </w:p>
    <w:p w14:paraId="43A39E54">
      <w:pPr>
        <w:adjustRightInd w:val="0"/>
        <w:snapToGrid w:val="0"/>
        <w:spacing w:line="600" w:lineRule="exact"/>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rPr>
        <w:t>通讯地址：</w:t>
      </w:r>
      <w:r>
        <w:rPr>
          <w:rFonts w:hint="eastAsia" w:ascii="仿宋" w:hAnsi="仿宋" w:eastAsia="仿宋" w:cs="仿宋"/>
          <w:color w:val="000000"/>
          <w:sz w:val="32"/>
          <w:szCs w:val="32"/>
        </w:rPr>
        <w:t>新疆喀什地区喀什经济开发区兵团分区北部产业园</w:t>
      </w:r>
      <w:r>
        <w:rPr>
          <w:rFonts w:hint="eastAsia" w:ascii="仿宋" w:hAnsi="仿宋" w:eastAsia="仿宋" w:cs="仿宋"/>
          <w:color w:val="000000"/>
          <w:sz w:val="32"/>
          <w:szCs w:val="32"/>
          <w:lang w:eastAsia="zh-CN"/>
        </w:rPr>
        <w:t>投资服务</w:t>
      </w:r>
      <w:r>
        <w:rPr>
          <w:rFonts w:hint="eastAsia" w:ascii="仿宋" w:hAnsi="仿宋" w:eastAsia="仿宋" w:cs="仿宋"/>
          <w:color w:val="000000"/>
          <w:sz w:val="32"/>
          <w:szCs w:val="32"/>
        </w:rPr>
        <w:t>局</w:t>
      </w:r>
    </w:p>
    <w:p w14:paraId="36AFEDA3">
      <w:pPr>
        <w:adjustRightInd w:val="0"/>
        <w:snapToGrid w:val="0"/>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sz w:val="32"/>
          <w:szCs w:val="32"/>
        </w:rPr>
        <w:t>邮编：844000</w:t>
      </w:r>
    </w:p>
    <w:p w14:paraId="72942794">
      <w:pPr>
        <w:adjustRightInd w:val="0"/>
        <w:snapToGrid w:val="0"/>
        <w:spacing w:line="6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拟批准环境影响评价文件的建设项目</w:t>
      </w:r>
    </w:p>
    <w:tbl>
      <w:tblPr>
        <w:tblStyle w:val="22"/>
        <w:tblW w:w="13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6"/>
        <w:gridCol w:w="833"/>
        <w:gridCol w:w="612"/>
        <w:gridCol w:w="400"/>
        <w:gridCol w:w="908"/>
        <w:gridCol w:w="2422"/>
        <w:gridCol w:w="7677"/>
        <w:gridCol w:w="809"/>
      </w:tblGrid>
      <w:tr w14:paraId="6E52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7" w:hRule="atLeast"/>
        </w:trPr>
        <w:tc>
          <w:tcPr>
            <w:tcW w:w="296" w:type="dxa"/>
            <w:tcBorders>
              <w:tl2br w:val="nil"/>
              <w:tr2bl w:val="nil"/>
            </w:tcBorders>
            <w:shd w:val="clear" w:color="auto" w:fill="auto"/>
            <w:tcMar>
              <w:top w:w="12" w:type="dxa"/>
              <w:left w:w="12" w:type="dxa"/>
              <w:right w:w="12" w:type="dxa"/>
            </w:tcMar>
            <w:vAlign w:val="center"/>
          </w:tcPr>
          <w:p w14:paraId="16A95B2D">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序号</w:t>
            </w:r>
          </w:p>
        </w:tc>
        <w:tc>
          <w:tcPr>
            <w:tcW w:w="833" w:type="dxa"/>
            <w:tcBorders>
              <w:tl2br w:val="nil"/>
              <w:tr2bl w:val="nil"/>
            </w:tcBorders>
            <w:shd w:val="clear" w:color="auto" w:fill="auto"/>
            <w:tcMar>
              <w:top w:w="12" w:type="dxa"/>
              <w:left w:w="12" w:type="dxa"/>
              <w:right w:w="12" w:type="dxa"/>
            </w:tcMar>
            <w:vAlign w:val="center"/>
          </w:tcPr>
          <w:p w14:paraId="4D339112">
            <w:pPr>
              <w:keepNext w:val="0"/>
              <w:keepLines w:val="0"/>
              <w:widowControl/>
              <w:suppressLineNumbers w:val="0"/>
              <w:adjustRightInd w:val="0"/>
              <w:snapToGrid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项目</w:t>
            </w:r>
          </w:p>
          <w:p w14:paraId="47A21A21">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名称</w:t>
            </w:r>
          </w:p>
        </w:tc>
        <w:tc>
          <w:tcPr>
            <w:tcW w:w="612" w:type="dxa"/>
            <w:tcBorders>
              <w:tl2br w:val="nil"/>
              <w:tr2bl w:val="nil"/>
            </w:tcBorders>
            <w:shd w:val="clear" w:color="auto" w:fill="auto"/>
            <w:tcMar>
              <w:top w:w="12" w:type="dxa"/>
              <w:left w:w="12" w:type="dxa"/>
              <w:right w:w="12" w:type="dxa"/>
            </w:tcMar>
            <w:vAlign w:val="center"/>
          </w:tcPr>
          <w:p w14:paraId="6DF4C539">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建设地点</w:t>
            </w:r>
          </w:p>
        </w:tc>
        <w:tc>
          <w:tcPr>
            <w:tcW w:w="400" w:type="dxa"/>
            <w:tcBorders>
              <w:tl2br w:val="nil"/>
              <w:tr2bl w:val="nil"/>
            </w:tcBorders>
            <w:shd w:val="clear" w:color="auto" w:fill="auto"/>
            <w:tcMar>
              <w:top w:w="12" w:type="dxa"/>
              <w:left w:w="12" w:type="dxa"/>
              <w:right w:w="12" w:type="dxa"/>
            </w:tcMar>
            <w:vAlign w:val="center"/>
          </w:tcPr>
          <w:p w14:paraId="70AA479F">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建设单位</w:t>
            </w:r>
          </w:p>
        </w:tc>
        <w:tc>
          <w:tcPr>
            <w:tcW w:w="908" w:type="dxa"/>
            <w:tcBorders>
              <w:tl2br w:val="nil"/>
              <w:tr2bl w:val="nil"/>
            </w:tcBorders>
            <w:shd w:val="clear" w:color="auto" w:fill="auto"/>
            <w:tcMar>
              <w:top w:w="12" w:type="dxa"/>
              <w:left w:w="12" w:type="dxa"/>
              <w:right w:w="12" w:type="dxa"/>
            </w:tcMar>
            <w:vAlign w:val="center"/>
          </w:tcPr>
          <w:p w14:paraId="7099972B">
            <w:pPr>
              <w:keepNext w:val="0"/>
              <w:keepLines w:val="0"/>
              <w:widowControl/>
              <w:suppressLineNumbers w:val="0"/>
              <w:adjustRightInd w:val="0"/>
              <w:snapToGrid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环境影响</w:t>
            </w:r>
          </w:p>
          <w:p w14:paraId="1EF1E77C">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评价机构</w:t>
            </w:r>
          </w:p>
        </w:tc>
        <w:tc>
          <w:tcPr>
            <w:tcW w:w="2422" w:type="dxa"/>
            <w:tcBorders>
              <w:tl2br w:val="nil"/>
              <w:tr2bl w:val="nil"/>
            </w:tcBorders>
            <w:shd w:val="clear" w:color="auto" w:fill="auto"/>
            <w:tcMar>
              <w:top w:w="12" w:type="dxa"/>
              <w:left w:w="12" w:type="dxa"/>
              <w:right w:w="12" w:type="dxa"/>
            </w:tcMar>
            <w:vAlign w:val="center"/>
          </w:tcPr>
          <w:p w14:paraId="3B2AB61A">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项目概述</w:t>
            </w:r>
          </w:p>
        </w:tc>
        <w:tc>
          <w:tcPr>
            <w:tcW w:w="7677" w:type="dxa"/>
            <w:tcBorders>
              <w:tl2br w:val="nil"/>
              <w:tr2bl w:val="nil"/>
            </w:tcBorders>
            <w:shd w:val="clear" w:color="auto" w:fill="auto"/>
            <w:tcMar>
              <w:top w:w="12" w:type="dxa"/>
              <w:left w:w="12" w:type="dxa"/>
              <w:right w:w="12" w:type="dxa"/>
            </w:tcMar>
            <w:vAlign w:val="center"/>
          </w:tcPr>
          <w:p w14:paraId="743FFE02">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主要环境影响及预防或者减轻不良环境影响的对策和措施</w:t>
            </w:r>
          </w:p>
        </w:tc>
        <w:tc>
          <w:tcPr>
            <w:tcW w:w="809" w:type="dxa"/>
            <w:tcBorders>
              <w:tl2br w:val="nil"/>
              <w:tr2bl w:val="nil"/>
            </w:tcBorders>
            <w:shd w:val="clear" w:color="auto" w:fill="auto"/>
            <w:tcMar>
              <w:top w:w="12" w:type="dxa"/>
              <w:left w:w="12" w:type="dxa"/>
              <w:right w:w="12" w:type="dxa"/>
            </w:tcMar>
            <w:vAlign w:val="center"/>
          </w:tcPr>
          <w:p w14:paraId="235386FA">
            <w:pPr>
              <w:keepNext w:val="0"/>
              <w:keepLines w:val="0"/>
              <w:widowControl/>
              <w:suppressLineNumbers w:val="0"/>
              <w:adjustRightInd w:val="0"/>
              <w:snapToGrid w:val="0"/>
              <w:spacing w:before="0" w:beforeAutospacing="0" w:after="0" w:afterAutospacing="0"/>
              <w:ind w:left="0" w:right="0"/>
              <w:jc w:val="center"/>
              <w:textAlignment w:val="center"/>
              <w:rPr>
                <w:rFonts w:hint="default" w:ascii="仿宋" w:hAnsi="仿宋" w:eastAsia="仿宋" w:cs="仿宋"/>
                <w:color w:val="000000"/>
                <w:sz w:val="22"/>
                <w:szCs w:val="22"/>
              </w:rPr>
            </w:pPr>
            <w:r>
              <w:rPr>
                <w:rFonts w:hint="eastAsia" w:ascii="仿宋" w:hAnsi="仿宋" w:eastAsia="仿宋" w:cs="仿宋"/>
                <w:color w:val="000000"/>
                <w:kern w:val="0"/>
                <w:sz w:val="22"/>
                <w:szCs w:val="22"/>
                <w:lang w:bidi="ar"/>
              </w:rPr>
              <w:t>公众参与情况</w:t>
            </w:r>
          </w:p>
        </w:tc>
      </w:tr>
      <w:tr w14:paraId="2F2C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55" w:hRule="atLeast"/>
        </w:trPr>
        <w:tc>
          <w:tcPr>
            <w:tcW w:w="296" w:type="dxa"/>
            <w:tcBorders>
              <w:tl2br w:val="nil"/>
              <w:tr2bl w:val="nil"/>
            </w:tcBorders>
            <w:shd w:val="clear" w:color="auto" w:fill="auto"/>
            <w:noWrap/>
            <w:tcMar>
              <w:top w:w="12" w:type="dxa"/>
              <w:left w:w="12" w:type="dxa"/>
              <w:right w:w="12" w:type="dxa"/>
            </w:tcMar>
            <w:vAlign w:val="center"/>
          </w:tcPr>
          <w:p w14:paraId="5BEBD167">
            <w:pPr>
              <w:keepNext w:val="0"/>
              <w:keepLines w:val="0"/>
              <w:widowControl/>
              <w:suppressLineNumbers w:val="0"/>
              <w:adjustRightInd w:val="0"/>
              <w:snapToGrid w:val="0"/>
              <w:spacing w:before="0" w:beforeAutospacing="0" w:after="0" w:afterAutospacing="0"/>
              <w:ind w:left="0" w:leftChars="0" w:right="0" w:right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cs="Times New Roman"/>
                <w:sz w:val="20"/>
                <w:szCs w:val="20"/>
                <w:lang w:val="en-US" w:eastAsia="zh-CN"/>
              </w:rPr>
              <w:t>1</w:t>
            </w:r>
          </w:p>
        </w:tc>
        <w:tc>
          <w:tcPr>
            <w:tcW w:w="833" w:type="dxa"/>
            <w:tcBorders>
              <w:tl2br w:val="nil"/>
              <w:tr2bl w:val="nil"/>
            </w:tcBorders>
            <w:shd w:val="clear" w:color="auto" w:fill="auto"/>
            <w:noWrap/>
            <w:tcMar>
              <w:top w:w="12" w:type="dxa"/>
              <w:left w:w="12" w:type="dxa"/>
              <w:right w:w="12" w:type="dxa"/>
            </w:tcMar>
            <w:vAlign w:val="center"/>
          </w:tcPr>
          <w:p w14:paraId="5C3C1244">
            <w:pPr>
              <w:keepNext w:val="0"/>
              <w:keepLines w:val="0"/>
              <w:widowControl/>
              <w:suppressLineNumbers w:val="0"/>
              <w:adjustRightInd w:val="0"/>
              <w:snapToGrid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color w:val="auto"/>
                <w:kern w:val="2"/>
                <w:sz w:val="22"/>
                <w:szCs w:val="22"/>
                <w:lang w:val="en-US" w:eastAsia="zh-CN" w:bidi="ar-SA"/>
              </w:rPr>
            </w:pPr>
            <w:r>
              <w:rPr>
                <w:rFonts w:hint="default" w:ascii="Times New Roman" w:hAnsi="Times New Roman" w:eastAsia="仿宋_GB2312" w:cs="Times New Roman"/>
                <w:b w:val="0"/>
                <w:bCs/>
                <w:color w:val="auto"/>
                <w:kern w:val="2"/>
                <w:sz w:val="22"/>
                <w:szCs w:val="22"/>
                <w:lang w:val="en-US" w:eastAsia="zh-CN" w:bidi="ar-SA"/>
              </w:rPr>
              <w:t>龙源电力设备新增生产线项目</w:t>
            </w:r>
          </w:p>
        </w:tc>
        <w:tc>
          <w:tcPr>
            <w:tcW w:w="612" w:type="dxa"/>
            <w:tcBorders>
              <w:tl2br w:val="nil"/>
              <w:tr2bl w:val="nil"/>
            </w:tcBorders>
            <w:shd w:val="clear" w:color="auto" w:fill="auto"/>
            <w:noWrap/>
            <w:tcMar>
              <w:top w:w="12" w:type="dxa"/>
              <w:left w:w="12" w:type="dxa"/>
              <w:right w:w="12" w:type="dxa"/>
            </w:tcMar>
            <w:vAlign w:val="center"/>
          </w:tcPr>
          <w:p w14:paraId="6DD93935">
            <w:pPr>
              <w:keepNext w:val="0"/>
              <w:keepLines w:val="0"/>
              <w:widowControl/>
              <w:suppressLineNumbers w:val="0"/>
              <w:adjustRightInd w:val="0"/>
              <w:snapToGrid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color w:val="auto"/>
                <w:kern w:val="2"/>
                <w:sz w:val="22"/>
                <w:szCs w:val="22"/>
                <w:lang w:val="en-US" w:eastAsia="zh-CN" w:bidi="ar-SA"/>
              </w:rPr>
            </w:pPr>
            <w:r>
              <w:rPr>
                <w:rFonts w:hint="default" w:ascii="Times New Roman" w:hAnsi="Times New Roman" w:eastAsia="仿宋_GB2312" w:cs="Times New Roman"/>
                <w:b w:val="0"/>
                <w:bCs/>
                <w:color w:val="auto"/>
                <w:kern w:val="2"/>
                <w:sz w:val="22"/>
                <w:szCs w:val="22"/>
                <w:lang w:val="en-US" w:eastAsia="zh-CN" w:bidi="ar-SA"/>
              </w:rPr>
              <w:t>喀什经济开发区兵团分区北部产业园</w:t>
            </w:r>
          </w:p>
        </w:tc>
        <w:tc>
          <w:tcPr>
            <w:tcW w:w="400" w:type="dxa"/>
            <w:tcBorders>
              <w:tl2br w:val="nil"/>
              <w:tr2bl w:val="nil"/>
            </w:tcBorders>
            <w:shd w:val="clear" w:color="auto" w:fill="auto"/>
            <w:noWrap/>
            <w:tcMar>
              <w:top w:w="12" w:type="dxa"/>
              <w:left w:w="12" w:type="dxa"/>
              <w:right w:w="12" w:type="dxa"/>
            </w:tcMar>
            <w:vAlign w:val="center"/>
          </w:tcPr>
          <w:p w14:paraId="0906CE1F">
            <w:pPr>
              <w:keepNext w:val="0"/>
              <w:keepLines w:val="0"/>
              <w:widowControl/>
              <w:suppressLineNumbers w:val="0"/>
              <w:adjustRightInd w:val="0"/>
              <w:snapToGrid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color w:val="auto"/>
                <w:kern w:val="2"/>
                <w:sz w:val="22"/>
                <w:szCs w:val="22"/>
                <w:lang w:val="en-US" w:eastAsia="zh-CN" w:bidi="ar-SA"/>
              </w:rPr>
            </w:pPr>
            <w:r>
              <w:rPr>
                <w:rFonts w:hint="default" w:ascii="Times New Roman" w:hAnsi="Times New Roman" w:eastAsia="仿宋_GB2312" w:cs="Times New Roman"/>
                <w:b w:val="0"/>
                <w:bCs/>
                <w:color w:val="auto"/>
                <w:kern w:val="2"/>
                <w:sz w:val="22"/>
                <w:szCs w:val="22"/>
                <w:lang w:val="en-US" w:eastAsia="zh-CN" w:bidi="ar-SA"/>
              </w:rPr>
              <w:t>新疆龙源电力设备有限公司</w:t>
            </w:r>
          </w:p>
        </w:tc>
        <w:tc>
          <w:tcPr>
            <w:tcW w:w="908" w:type="dxa"/>
            <w:tcBorders>
              <w:tl2br w:val="nil"/>
              <w:tr2bl w:val="nil"/>
            </w:tcBorders>
            <w:shd w:val="clear" w:color="auto" w:fill="auto"/>
            <w:noWrap/>
            <w:tcMar>
              <w:top w:w="12" w:type="dxa"/>
              <w:left w:w="12" w:type="dxa"/>
              <w:right w:w="12" w:type="dxa"/>
            </w:tcMar>
            <w:vAlign w:val="center"/>
          </w:tcPr>
          <w:p w14:paraId="2976CB29">
            <w:pPr>
              <w:keepNext w:val="0"/>
              <w:keepLines w:val="0"/>
              <w:widowControl/>
              <w:suppressLineNumbers w:val="0"/>
              <w:adjustRightInd w:val="0"/>
              <w:snapToGrid w:val="0"/>
              <w:spacing w:before="0" w:beforeAutospacing="0" w:after="0" w:afterAutospacing="0"/>
              <w:ind w:left="0" w:leftChars="0" w:right="0" w:rightChars="0"/>
              <w:jc w:val="center"/>
              <w:textAlignment w:val="center"/>
              <w:rPr>
                <w:rFonts w:hint="default" w:ascii="Times New Roman" w:hAnsi="Times New Roman" w:eastAsia="仿宋_GB2312" w:cs="Times New Roman"/>
                <w:b w:val="0"/>
                <w:bCs/>
                <w:color w:val="auto"/>
                <w:kern w:val="2"/>
                <w:sz w:val="22"/>
                <w:szCs w:val="22"/>
                <w:lang w:val="en-US" w:eastAsia="zh-CN" w:bidi="ar-SA"/>
              </w:rPr>
            </w:pPr>
            <w:r>
              <w:rPr>
                <w:rFonts w:hint="default" w:ascii="Times New Roman" w:hAnsi="Times New Roman" w:eastAsia="仿宋_GB2312" w:cs="Times New Roman"/>
                <w:b w:val="0"/>
                <w:bCs/>
                <w:color w:val="auto"/>
                <w:kern w:val="2"/>
                <w:sz w:val="22"/>
                <w:szCs w:val="22"/>
                <w:lang w:val="en-US" w:eastAsia="zh-CN" w:bidi="ar-SA"/>
              </w:rPr>
              <w:t>新疆德聚仁合生态环境科技有限公司</w:t>
            </w:r>
          </w:p>
        </w:tc>
        <w:tc>
          <w:tcPr>
            <w:tcW w:w="2422" w:type="dxa"/>
            <w:tcBorders>
              <w:tl2br w:val="nil"/>
              <w:tr2bl w:val="nil"/>
            </w:tcBorders>
            <w:shd w:val="clear" w:color="auto" w:fill="auto"/>
            <w:noWrap/>
            <w:tcMar>
              <w:top w:w="12" w:type="dxa"/>
              <w:left w:w="12" w:type="dxa"/>
              <w:right w:w="12" w:type="dxa"/>
            </w:tcMar>
            <w:vAlign w:val="center"/>
          </w:tcPr>
          <w:p w14:paraId="699CDFA1">
            <w:pPr>
              <w:keepNext w:val="0"/>
              <w:keepLines w:val="0"/>
              <w:widowControl/>
              <w:suppressLineNumbers w:val="0"/>
              <w:adjustRightInd w:val="0"/>
              <w:snapToGrid w:val="0"/>
              <w:spacing w:before="0" w:beforeAutospacing="0" w:after="0" w:afterAutospacing="0"/>
              <w:ind w:left="0" w:leftChars="0" w:right="0" w:rightChars="0" w:firstLine="440" w:firstLineChars="200"/>
              <w:jc w:val="left"/>
              <w:textAlignment w:val="center"/>
              <w:rPr>
                <w:rFonts w:hint="default" w:ascii="Times New Roman" w:hAnsi="Times New Roman" w:eastAsia="方正仿宋_GBK" w:cs="Times New Roman"/>
                <w:color w:val="auto"/>
                <w:kern w:val="2"/>
                <w:sz w:val="22"/>
                <w:szCs w:val="22"/>
                <w:lang w:val="en-US" w:eastAsia="zh-CN" w:bidi="ar-SA"/>
              </w:rPr>
            </w:pPr>
            <w:r>
              <w:rPr>
                <w:rFonts w:hint="default" w:ascii="Times New Roman" w:hAnsi="Times New Roman" w:eastAsia="方正仿宋_GBK" w:cs="Times New Roman"/>
                <w:color w:val="auto"/>
                <w:kern w:val="2"/>
                <w:sz w:val="22"/>
                <w:szCs w:val="22"/>
                <w:lang w:val="en-US" w:eastAsia="zh-CN" w:bidi="ar-SA"/>
              </w:rPr>
              <w:t>项目位于喀什经济开发区兵团分区北部产业园东至空地、西至创达路、南至天山路、北至北山路，新疆龙源电力设备有限公司厂区内1、2、3号厂房</w:t>
            </w:r>
            <w:r>
              <w:rPr>
                <w:rFonts w:hint="eastAsia" w:ascii="Times New Roman" w:hAnsi="Times New Roman" w:eastAsia="方正仿宋_GBK" w:cs="Times New Roman"/>
                <w:color w:val="auto"/>
                <w:kern w:val="2"/>
                <w:sz w:val="22"/>
                <w:szCs w:val="22"/>
                <w:lang w:val="en-US" w:eastAsia="zh-CN" w:bidi="ar-SA"/>
              </w:rPr>
              <w:t>。</w:t>
            </w:r>
            <w:r>
              <w:rPr>
                <w:rFonts w:hint="default" w:ascii="Times New Roman" w:hAnsi="Times New Roman" w:eastAsia="方正仿宋_GBK" w:cs="Times New Roman"/>
                <w:color w:val="000000"/>
                <w:kern w:val="2"/>
                <w:sz w:val="22"/>
                <w:szCs w:val="22"/>
                <w:lang w:val="en-US" w:eastAsia="zh-CN" w:bidi="ar-SA"/>
              </w:rPr>
              <w:t>主要建设内容为：1号生产车间新增2条地暖隔热垫生产线、1条电缆桥架生产线，2号生产车间新增1条生产矿用金属网片及配件生产线，3号</w:t>
            </w:r>
            <w:r>
              <w:rPr>
                <w:rFonts w:hint="default" w:ascii="Times New Roman" w:hAnsi="Times New Roman" w:eastAsia="方正仿宋_GBK" w:cs="Times New Roman"/>
                <w:color w:val="000000"/>
                <w:kern w:val="2"/>
                <w:sz w:val="22"/>
                <w:szCs w:val="22"/>
                <w:lang w:val="en-US" w:eastAsia="zh-CN" w:bidi="ar-SA"/>
              </w:rPr>
              <w:t>生产车间</w:t>
            </w:r>
            <w:r>
              <w:rPr>
                <w:rFonts w:hint="default" w:ascii="Times New Roman" w:hAnsi="Times New Roman" w:eastAsia="方正仿宋_GBK" w:cs="Times New Roman"/>
                <w:color w:val="000000"/>
                <w:kern w:val="2"/>
                <w:sz w:val="22"/>
                <w:szCs w:val="22"/>
                <w:lang w:val="en-US" w:eastAsia="zh-CN" w:bidi="ar-SA"/>
              </w:rPr>
              <w:t>新增1条钢结构生产线。年产电缆桥架150万米，地暖隔热垫10万平方米，金属网片70万平方米，钢结构800吨。</w:t>
            </w:r>
          </w:p>
          <w:p w14:paraId="02B24E12">
            <w:pPr>
              <w:keepNext w:val="0"/>
              <w:keepLines w:val="0"/>
              <w:widowControl/>
              <w:suppressLineNumbers w:val="0"/>
              <w:adjustRightInd w:val="0"/>
              <w:snapToGrid w:val="0"/>
              <w:spacing w:before="0" w:beforeAutospacing="0" w:after="0" w:afterAutospacing="0"/>
              <w:ind w:left="0" w:leftChars="0" w:right="0" w:rightChars="0" w:firstLine="440" w:firstLineChars="200"/>
              <w:jc w:val="left"/>
              <w:textAlignment w:val="center"/>
              <w:rPr>
                <w:rFonts w:hint="default" w:ascii="Times New Roman" w:hAnsi="Times New Roman" w:eastAsia="仿宋_GB2312" w:cs="Times New Roman"/>
                <w:kern w:val="2"/>
                <w:sz w:val="22"/>
                <w:szCs w:val="22"/>
                <w:lang w:val="en-US" w:eastAsia="zh-CN" w:bidi="ar-SA"/>
              </w:rPr>
            </w:pPr>
            <w:r>
              <w:rPr>
                <w:rFonts w:hint="default" w:ascii="Times New Roman" w:hAnsi="Times New Roman" w:eastAsia="方正仿宋_GBK" w:cs="Times New Roman"/>
                <w:color w:val="auto"/>
                <w:kern w:val="2"/>
                <w:sz w:val="22"/>
                <w:szCs w:val="22"/>
                <w:lang w:val="en-US" w:eastAsia="zh-CN" w:bidi="ar-SA"/>
              </w:rPr>
              <w:t>项目总投资</w:t>
            </w:r>
            <w:r>
              <w:rPr>
                <w:rFonts w:hint="eastAsia" w:ascii="Times New Roman" w:hAnsi="Times New Roman" w:eastAsia="方正仿宋_GBK" w:cs="Times New Roman"/>
                <w:color w:val="auto"/>
                <w:kern w:val="2"/>
                <w:sz w:val="22"/>
                <w:szCs w:val="22"/>
                <w:lang w:val="en-US" w:eastAsia="zh-CN" w:bidi="ar-SA"/>
              </w:rPr>
              <w:t>700</w:t>
            </w:r>
            <w:r>
              <w:rPr>
                <w:rFonts w:hint="default" w:ascii="Times New Roman" w:hAnsi="Times New Roman" w:eastAsia="方正仿宋_GBK" w:cs="Times New Roman"/>
                <w:color w:val="auto"/>
                <w:kern w:val="2"/>
                <w:sz w:val="22"/>
                <w:szCs w:val="22"/>
                <w:lang w:val="en-US" w:eastAsia="zh-CN" w:bidi="ar-SA"/>
              </w:rPr>
              <w:t>万元，其中环保投资1</w:t>
            </w:r>
            <w:r>
              <w:rPr>
                <w:rFonts w:hint="eastAsia" w:ascii="Times New Roman" w:hAnsi="Times New Roman" w:eastAsia="方正仿宋_GBK" w:cs="Times New Roman"/>
                <w:color w:val="auto"/>
                <w:kern w:val="2"/>
                <w:sz w:val="22"/>
                <w:szCs w:val="22"/>
                <w:lang w:val="en-US" w:eastAsia="zh-CN" w:bidi="ar-SA"/>
              </w:rPr>
              <w:t>21</w:t>
            </w:r>
            <w:r>
              <w:rPr>
                <w:rFonts w:hint="default" w:ascii="Times New Roman" w:hAnsi="Times New Roman" w:eastAsia="方正仿宋_GBK" w:cs="Times New Roman"/>
                <w:color w:val="auto"/>
                <w:kern w:val="2"/>
                <w:sz w:val="22"/>
                <w:szCs w:val="22"/>
                <w:lang w:val="en-US" w:eastAsia="zh-CN" w:bidi="ar-SA"/>
              </w:rPr>
              <w:t>万元，占总投资的</w:t>
            </w:r>
            <w:r>
              <w:rPr>
                <w:rFonts w:hint="eastAsia" w:ascii="Times New Roman" w:hAnsi="Times New Roman" w:eastAsia="方正仿宋_GBK" w:cs="Times New Roman"/>
                <w:color w:val="auto"/>
                <w:kern w:val="2"/>
                <w:sz w:val="22"/>
                <w:szCs w:val="22"/>
                <w:lang w:val="en-US" w:eastAsia="zh-CN" w:bidi="ar-SA"/>
              </w:rPr>
              <w:t>17.29</w:t>
            </w:r>
            <w:r>
              <w:rPr>
                <w:rFonts w:hint="default" w:ascii="Times New Roman" w:hAnsi="Times New Roman" w:eastAsia="方正仿宋_GBK" w:cs="Times New Roman"/>
                <w:color w:val="auto"/>
                <w:kern w:val="2"/>
                <w:sz w:val="22"/>
                <w:szCs w:val="22"/>
                <w:lang w:val="en-US" w:eastAsia="zh-CN" w:bidi="ar-SA"/>
              </w:rPr>
              <w:t>%</w:t>
            </w:r>
            <w:r>
              <w:rPr>
                <w:rFonts w:hint="default" w:ascii="Times New Roman" w:hAnsi="Times New Roman" w:eastAsia="方正仿宋_GBK" w:cs="Times New Roman"/>
                <w:color w:val="000000"/>
                <w:kern w:val="0"/>
                <w:sz w:val="22"/>
                <w:szCs w:val="22"/>
                <w:lang w:val="en-US" w:eastAsia="zh-CN" w:bidi="ar"/>
              </w:rPr>
              <w:t>。</w:t>
            </w:r>
          </w:p>
        </w:tc>
        <w:tc>
          <w:tcPr>
            <w:tcW w:w="7677" w:type="dxa"/>
            <w:tcBorders>
              <w:tl2br w:val="nil"/>
              <w:tr2bl w:val="nil"/>
            </w:tcBorders>
            <w:shd w:val="clear" w:color="auto" w:fill="auto"/>
            <w:noWrap/>
            <w:tcMar>
              <w:top w:w="12" w:type="dxa"/>
              <w:left w:w="12" w:type="dxa"/>
              <w:right w:w="12" w:type="dxa"/>
            </w:tcMar>
            <w:vAlign w:val="center"/>
          </w:tcPr>
          <w:p w14:paraId="439C26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0" w:lineRule="exact"/>
              <w:ind w:left="0" w:right="0" w:firstLine="361" w:firstLineChars="200"/>
              <w:jc w:val="left"/>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b/>
                <w:bCs/>
                <w:color w:val="000000"/>
                <w:kern w:val="0"/>
                <w:sz w:val="18"/>
                <w:szCs w:val="18"/>
                <w:lang w:val="en-US" w:eastAsia="zh-CN" w:bidi="ar"/>
              </w:rPr>
              <w:t>废气</w:t>
            </w:r>
            <w:r>
              <w:rPr>
                <w:rFonts w:hint="default" w:ascii="Times New Roman" w:hAnsi="Times New Roman" w:eastAsia="仿宋_GB2312" w:cs="Times New Roman"/>
                <w:b w:val="0"/>
                <w:bCs w:val="0"/>
                <w:color w:val="000000"/>
                <w:kern w:val="0"/>
                <w:sz w:val="18"/>
                <w:szCs w:val="18"/>
                <w:lang w:val="en-US" w:eastAsia="zh-CN" w:bidi="ar"/>
              </w:rPr>
              <w:t>：加强废气治理工作。项目下料粉尘、喷塑粉尘等有组织颗粒物执行《大气污染物综合排放标准》（GB16297-1996）表2二级标准限值。塑粉固化废气、喷漆房颗粒物、非甲烷总烃等执行《合成树脂工业污染物排放标准》（GB31572-2015）及其修改单（2024年）表4中大气污染物排放限值；厂界酚类无组织执行《大气污染物综合排放标准》（GB16297-1996）表2无组织排放监控浓度限值，其余颗粒物、非甲烷总烃等无组织污染因子从严执行《合成树脂工业污染物排放标准》（GB31572-2015）及其修改单（2024年）表9无组织排放限值；厂区内无组织 VOCs执行《挥发性有机物无组织排放控制标准》（GB37822-2019）表 A.1 中排放限值要求，油烟废气执行《饮食业油烟排放标准》（GB18483-2001）要求。</w:t>
            </w:r>
          </w:p>
          <w:p w14:paraId="6F74E83F">
            <w:pPr>
              <w:keepNext w:val="0"/>
              <w:keepLines w:val="0"/>
              <w:pageBreakBefore w:val="0"/>
              <w:widowControl/>
              <w:suppressLineNumbers w:val="0"/>
              <w:kinsoku/>
              <w:wordWrap/>
              <w:overflowPunct/>
              <w:topLinePunct w:val="0"/>
              <w:autoSpaceDE/>
              <w:autoSpaceDN/>
              <w:bidi w:val="0"/>
              <w:spacing w:before="0" w:beforeAutospacing="0" w:after="0" w:afterAutospacing="0" w:line="260" w:lineRule="exact"/>
              <w:ind w:left="0" w:right="0" w:firstLine="361" w:firstLineChars="200"/>
              <w:jc w:val="both"/>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b/>
                <w:bCs/>
                <w:color w:val="000000"/>
                <w:kern w:val="0"/>
                <w:sz w:val="18"/>
                <w:szCs w:val="18"/>
                <w:lang w:val="en-US" w:eastAsia="zh-CN" w:bidi="ar"/>
              </w:rPr>
              <w:t>废水</w:t>
            </w:r>
            <w:r>
              <w:rPr>
                <w:rFonts w:hint="default" w:ascii="Times New Roman" w:hAnsi="Times New Roman" w:eastAsia="仿宋_GB2312" w:cs="Times New Roman"/>
                <w:b w:val="0"/>
                <w:bCs w:val="0"/>
                <w:color w:val="000000"/>
                <w:kern w:val="0"/>
                <w:sz w:val="18"/>
                <w:szCs w:val="18"/>
                <w:lang w:val="en-US" w:eastAsia="zh-CN" w:bidi="ar"/>
              </w:rPr>
              <w:t>：做好污水防治工作。该项目运营期废水主要为生活污水，需符合《污水排入城镇下水道水质标准》（GB/T 31962-2015）及《污水综合排放标准》（GB8978-1996）表4 中的三级排放标准，排入市政污水管网，进入喀什市水务集团有限公司排水分公司（第二污水处理厂）处理。</w:t>
            </w:r>
          </w:p>
          <w:p w14:paraId="46B0A6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0" w:lineRule="exact"/>
              <w:ind w:left="0" w:right="0" w:firstLine="361" w:firstLineChars="200"/>
              <w:jc w:val="left"/>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b/>
                <w:bCs/>
                <w:color w:val="000000"/>
                <w:kern w:val="0"/>
                <w:sz w:val="18"/>
                <w:szCs w:val="18"/>
                <w:lang w:val="en-US" w:eastAsia="zh-CN" w:bidi="ar"/>
              </w:rPr>
              <w:t>噪声</w:t>
            </w:r>
            <w:r>
              <w:rPr>
                <w:rFonts w:hint="default" w:ascii="Times New Roman" w:hAnsi="Times New Roman" w:eastAsia="仿宋_GB2312" w:cs="Times New Roman"/>
                <w:b w:val="0"/>
                <w:bCs w:val="0"/>
                <w:color w:val="000000"/>
                <w:kern w:val="0"/>
                <w:sz w:val="18"/>
                <w:szCs w:val="18"/>
                <w:lang w:val="en-US" w:eastAsia="zh-CN" w:bidi="ar"/>
              </w:rPr>
              <w:t>：做好噪声防治措施。运营期执行《工业</w:t>
            </w:r>
            <w:bookmarkStart w:id="0" w:name="_GoBack"/>
            <w:bookmarkEnd w:id="0"/>
            <w:r>
              <w:rPr>
                <w:rFonts w:hint="default" w:ascii="Times New Roman" w:hAnsi="Times New Roman" w:eastAsia="仿宋_GB2312" w:cs="Times New Roman"/>
                <w:b w:val="0"/>
                <w:bCs w:val="0"/>
                <w:color w:val="000000"/>
                <w:kern w:val="0"/>
                <w:sz w:val="18"/>
                <w:szCs w:val="18"/>
                <w:lang w:val="en-US" w:eastAsia="zh-CN" w:bidi="ar"/>
              </w:rPr>
              <w:t>企业厂界环境噪声排放标准》（GB12348-2008）中的3类标准限值。</w:t>
            </w:r>
          </w:p>
          <w:p w14:paraId="273AA9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0" w:lineRule="exact"/>
              <w:ind w:left="0" w:leftChars="0" w:right="0" w:rightChars="0" w:firstLine="361" w:firstLineChars="200"/>
              <w:jc w:val="left"/>
              <w:textAlignment w:val="center"/>
              <w:rPr>
                <w:rFonts w:hint="default" w:ascii="Times New Roman" w:hAnsi="Times New Roman" w:eastAsia="仿宋_GB2312" w:cs="Times New Roman"/>
                <w:b/>
                <w:kern w:val="2"/>
                <w:sz w:val="24"/>
                <w:szCs w:val="24"/>
                <w:lang w:val="en-US" w:eastAsia="zh-CN" w:bidi="ar-SA"/>
              </w:rPr>
            </w:pPr>
            <w:r>
              <w:rPr>
                <w:rFonts w:hint="default" w:ascii="Times New Roman" w:hAnsi="Times New Roman" w:eastAsia="仿宋_GB2312" w:cs="Times New Roman"/>
                <w:b/>
                <w:bCs/>
                <w:color w:val="000000"/>
                <w:kern w:val="0"/>
                <w:sz w:val="18"/>
                <w:szCs w:val="18"/>
                <w:lang w:val="en-US" w:eastAsia="zh-CN" w:bidi="ar"/>
              </w:rPr>
              <w:t>固废</w:t>
            </w:r>
            <w:r>
              <w:rPr>
                <w:rFonts w:hint="default" w:ascii="Times New Roman" w:hAnsi="Times New Roman" w:eastAsia="仿宋_GB2312" w:cs="Times New Roman"/>
                <w:b w:val="0"/>
                <w:bCs w:val="0"/>
                <w:color w:val="000000"/>
                <w:kern w:val="0"/>
                <w:sz w:val="18"/>
                <w:szCs w:val="18"/>
                <w:lang w:val="en-US" w:eastAsia="zh-CN" w:bidi="ar"/>
              </w:rPr>
              <w:t>：做好固体废弃物处置工作。按照分类收集和综合利用的原则，妥善处理处置各类固体废物，防止造成二次污染。一般固废执行《一般工业固体废物贮存和填埋污染控制标准》（GB18599-2020）。危险废物执行《危险废物贮存污染控制标准》（GB18597-2023）。废润滑油、废油桶、废过滤棉及废漆渣、废活性炭分类收集后暂存于危险废物贮存库，定期委托有相关危废处理资质的单位进行处置。废催化剂每3年更换一次，交由有资质单位处理。生活垃圾在厂区内集中收集后，定期由环卫部门处置。</w:t>
            </w:r>
          </w:p>
        </w:tc>
        <w:tc>
          <w:tcPr>
            <w:tcW w:w="809" w:type="dxa"/>
            <w:tcBorders>
              <w:tl2br w:val="nil"/>
              <w:tr2bl w:val="nil"/>
            </w:tcBorders>
            <w:shd w:val="clear" w:color="auto" w:fill="auto"/>
            <w:noWrap/>
            <w:tcMar>
              <w:top w:w="12" w:type="dxa"/>
              <w:left w:w="12" w:type="dxa"/>
              <w:right w:w="12" w:type="dxa"/>
            </w:tcMar>
            <w:vAlign w:val="center"/>
          </w:tcPr>
          <w:p w14:paraId="327E88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0" w:lineRule="exact"/>
              <w:ind w:left="0" w:right="0" w:firstLine="360" w:firstLineChars="200"/>
              <w:jc w:val="left"/>
              <w:textAlignment w:val="center"/>
              <w:rPr>
                <w:rFonts w:hint="default" w:ascii="仿宋" w:hAnsi="仿宋" w:eastAsia="仿宋" w:cs="仿宋"/>
                <w:color w:val="000000"/>
                <w:sz w:val="18"/>
                <w:szCs w:val="18"/>
              </w:rPr>
            </w:pPr>
          </w:p>
        </w:tc>
      </w:tr>
    </w:tbl>
    <w:p w14:paraId="442D721F">
      <w:pPr>
        <w:rPr>
          <w:rFonts w:hint="eastAsia" w:ascii="微软雅黑" w:hAnsi="微软雅黑" w:eastAsia="微软雅黑" w:cs="微软雅黑"/>
          <w:sz w:val="30"/>
          <w:szCs w:val="30"/>
          <w:lang w:eastAsia="zh-CN"/>
        </w:rPr>
      </w:pPr>
    </w:p>
    <w:sectPr>
      <w:pgSz w:w="16838" w:h="11906" w:orient="landscape"/>
      <w:pgMar w:top="1417" w:right="1440" w:bottom="1417"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2DBC0B"/>
    <w:multiLevelType w:val="singleLevel"/>
    <w:tmpl w:val="AA2DBC0B"/>
    <w:lvl w:ilvl="0" w:tentative="0">
      <w:start w:val="1"/>
      <w:numFmt w:val="decimal"/>
      <w:pStyle w:val="10"/>
      <w:lvlText w:val="%1."/>
      <w:lvlJc w:val="left"/>
      <w:pPr>
        <w:tabs>
          <w:tab w:val="left" w:pos="2040"/>
        </w:tabs>
        <w:ind w:left="2040" w:hanging="360"/>
      </w:pPr>
    </w:lvl>
  </w:abstractNum>
  <w:abstractNum w:abstractNumId="1">
    <w:nsid w:val="37428EFE"/>
    <w:multiLevelType w:val="singleLevel"/>
    <w:tmpl w:val="37428EFE"/>
    <w:lvl w:ilvl="0" w:tentative="0">
      <w:start w:val="1"/>
      <w:numFmt w:val="bullet"/>
      <w:pStyle w:val="11"/>
      <w:lvlText w:val=""/>
      <w:lvlJc w:val="left"/>
      <w:pPr>
        <w:tabs>
          <w:tab w:val="left" w:pos="2040"/>
        </w:tabs>
        <w:ind w:left="204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2YTVkNzc0YzgxYzBhOTlhODljODk3OTM5YjE1MDMifQ=="/>
  </w:docVars>
  <w:rsids>
    <w:rsidRoot w:val="285611FE"/>
    <w:rsid w:val="00064D3B"/>
    <w:rsid w:val="00087659"/>
    <w:rsid w:val="000A35A0"/>
    <w:rsid w:val="000B5534"/>
    <w:rsid w:val="000C7F80"/>
    <w:rsid w:val="000E52E7"/>
    <w:rsid w:val="001074F6"/>
    <w:rsid w:val="00121B9B"/>
    <w:rsid w:val="0016287D"/>
    <w:rsid w:val="00163870"/>
    <w:rsid w:val="0017418C"/>
    <w:rsid w:val="001761C6"/>
    <w:rsid w:val="001833C6"/>
    <w:rsid w:val="00187454"/>
    <w:rsid w:val="001929D7"/>
    <w:rsid w:val="00197493"/>
    <w:rsid w:val="001A659F"/>
    <w:rsid w:val="00267B6C"/>
    <w:rsid w:val="00295BF9"/>
    <w:rsid w:val="002962E2"/>
    <w:rsid w:val="002B4121"/>
    <w:rsid w:val="002B4A02"/>
    <w:rsid w:val="002E605E"/>
    <w:rsid w:val="002F0541"/>
    <w:rsid w:val="002F124F"/>
    <w:rsid w:val="002F78F9"/>
    <w:rsid w:val="00303854"/>
    <w:rsid w:val="00305C09"/>
    <w:rsid w:val="00310D8A"/>
    <w:rsid w:val="00313EE7"/>
    <w:rsid w:val="00320056"/>
    <w:rsid w:val="00325260"/>
    <w:rsid w:val="003348B3"/>
    <w:rsid w:val="003528DC"/>
    <w:rsid w:val="003653BC"/>
    <w:rsid w:val="00370BDF"/>
    <w:rsid w:val="003A2BFF"/>
    <w:rsid w:val="003B72CF"/>
    <w:rsid w:val="003D1424"/>
    <w:rsid w:val="003E4AA7"/>
    <w:rsid w:val="003F6C41"/>
    <w:rsid w:val="003F7818"/>
    <w:rsid w:val="00460A9F"/>
    <w:rsid w:val="00476B33"/>
    <w:rsid w:val="00481889"/>
    <w:rsid w:val="00494CC8"/>
    <w:rsid w:val="004E3416"/>
    <w:rsid w:val="004F11C2"/>
    <w:rsid w:val="004F23AA"/>
    <w:rsid w:val="004F3071"/>
    <w:rsid w:val="00542F9E"/>
    <w:rsid w:val="005477E4"/>
    <w:rsid w:val="00552BA4"/>
    <w:rsid w:val="00573148"/>
    <w:rsid w:val="00585805"/>
    <w:rsid w:val="00597274"/>
    <w:rsid w:val="005A0304"/>
    <w:rsid w:val="005B21EF"/>
    <w:rsid w:val="005C14BF"/>
    <w:rsid w:val="00606A0D"/>
    <w:rsid w:val="00623A29"/>
    <w:rsid w:val="00624CFF"/>
    <w:rsid w:val="006470F2"/>
    <w:rsid w:val="00666275"/>
    <w:rsid w:val="00693965"/>
    <w:rsid w:val="00695E4F"/>
    <w:rsid w:val="006A6ABD"/>
    <w:rsid w:val="006B09D2"/>
    <w:rsid w:val="006B100F"/>
    <w:rsid w:val="006D1D75"/>
    <w:rsid w:val="006D3456"/>
    <w:rsid w:val="006D5C08"/>
    <w:rsid w:val="0071021F"/>
    <w:rsid w:val="00720078"/>
    <w:rsid w:val="00760A57"/>
    <w:rsid w:val="00767035"/>
    <w:rsid w:val="007805D2"/>
    <w:rsid w:val="0078782B"/>
    <w:rsid w:val="00795CFD"/>
    <w:rsid w:val="007D446D"/>
    <w:rsid w:val="007E1B29"/>
    <w:rsid w:val="00810F63"/>
    <w:rsid w:val="00812081"/>
    <w:rsid w:val="00833DA6"/>
    <w:rsid w:val="00850D1A"/>
    <w:rsid w:val="008656A3"/>
    <w:rsid w:val="00896F0A"/>
    <w:rsid w:val="008C081E"/>
    <w:rsid w:val="008C1349"/>
    <w:rsid w:val="008C628D"/>
    <w:rsid w:val="008E0D4E"/>
    <w:rsid w:val="008F6028"/>
    <w:rsid w:val="008F705E"/>
    <w:rsid w:val="00920E2E"/>
    <w:rsid w:val="009327DB"/>
    <w:rsid w:val="00937AE0"/>
    <w:rsid w:val="009756C6"/>
    <w:rsid w:val="00994558"/>
    <w:rsid w:val="009A065C"/>
    <w:rsid w:val="009B7123"/>
    <w:rsid w:val="009D667E"/>
    <w:rsid w:val="009E2C49"/>
    <w:rsid w:val="00A06F7F"/>
    <w:rsid w:val="00A201A6"/>
    <w:rsid w:val="00A415D5"/>
    <w:rsid w:val="00A461AB"/>
    <w:rsid w:val="00A61920"/>
    <w:rsid w:val="00A6469D"/>
    <w:rsid w:val="00A72AAA"/>
    <w:rsid w:val="00A87425"/>
    <w:rsid w:val="00AC4450"/>
    <w:rsid w:val="00AC5442"/>
    <w:rsid w:val="00AD69D1"/>
    <w:rsid w:val="00AE7E7D"/>
    <w:rsid w:val="00AF2600"/>
    <w:rsid w:val="00B264A4"/>
    <w:rsid w:val="00B460C6"/>
    <w:rsid w:val="00B50952"/>
    <w:rsid w:val="00B52A12"/>
    <w:rsid w:val="00B56953"/>
    <w:rsid w:val="00B7743A"/>
    <w:rsid w:val="00B97C2A"/>
    <w:rsid w:val="00BA2845"/>
    <w:rsid w:val="00BA428B"/>
    <w:rsid w:val="00BA628D"/>
    <w:rsid w:val="00BC392A"/>
    <w:rsid w:val="00BD2BEC"/>
    <w:rsid w:val="00C22C6C"/>
    <w:rsid w:val="00C3101A"/>
    <w:rsid w:val="00C33F81"/>
    <w:rsid w:val="00C41525"/>
    <w:rsid w:val="00C61C2B"/>
    <w:rsid w:val="00C80859"/>
    <w:rsid w:val="00C85873"/>
    <w:rsid w:val="00C877E7"/>
    <w:rsid w:val="00CB2014"/>
    <w:rsid w:val="00CB407D"/>
    <w:rsid w:val="00CC193A"/>
    <w:rsid w:val="00CD238A"/>
    <w:rsid w:val="00CE5CCE"/>
    <w:rsid w:val="00CF2216"/>
    <w:rsid w:val="00CF56B7"/>
    <w:rsid w:val="00D14F41"/>
    <w:rsid w:val="00D157F6"/>
    <w:rsid w:val="00D254D1"/>
    <w:rsid w:val="00D4069B"/>
    <w:rsid w:val="00D60A99"/>
    <w:rsid w:val="00D76BA5"/>
    <w:rsid w:val="00D77880"/>
    <w:rsid w:val="00D84C85"/>
    <w:rsid w:val="00D8736B"/>
    <w:rsid w:val="00D965BF"/>
    <w:rsid w:val="00DD386B"/>
    <w:rsid w:val="00DE7523"/>
    <w:rsid w:val="00E475AF"/>
    <w:rsid w:val="00E80DC5"/>
    <w:rsid w:val="00E81BA3"/>
    <w:rsid w:val="00E854C8"/>
    <w:rsid w:val="00E92BB8"/>
    <w:rsid w:val="00E94D2C"/>
    <w:rsid w:val="00E967F7"/>
    <w:rsid w:val="00EA5004"/>
    <w:rsid w:val="00EB497D"/>
    <w:rsid w:val="00ED5954"/>
    <w:rsid w:val="00EE52CB"/>
    <w:rsid w:val="00F559C8"/>
    <w:rsid w:val="00F56885"/>
    <w:rsid w:val="00F57396"/>
    <w:rsid w:val="00F63495"/>
    <w:rsid w:val="00F74729"/>
    <w:rsid w:val="00F75288"/>
    <w:rsid w:val="00F92700"/>
    <w:rsid w:val="00F9350E"/>
    <w:rsid w:val="01F3608E"/>
    <w:rsid w:val="02E1288E"/>
    <w:rsid w:val="034F0B7A"/>
    <w:rsid w:val="043E19A3"/>
    <w:rsid w:val="046C4E0F"/>
    <w:rsid w:val="04AC102F"/>
    <w:rsid w:val="05385465"/>
    <w:rsid w:val="058E74C9"/>
    <w:rsid w:val="05AD04C8"/>
    <w:rsid w:val="06450013"/>
    <w:rsid w:val="06AA444A"/>
    <w:rsid w:val="0708351A"/>
    <w:rsid w:val="083D3697"/>
    <w:rsid w:val="091A360F"/>
    <w:rsid w:val="0B226176"/>
    <w:rsid w:val="0B67330F"/>
    <w:rsid w:val="0D9E6986"/>
    <w:rsid w:val="0E7732C5"/>
    <w:rsid w:val="0E835B7C"/>
    <w:rsid w:val="0F1AD30F"/>
    <w:rsid w:val="0F5DDBE5"/>
    <w:rsid w:val="0FC25C6E"/>
    <w:rsid w:val="10167505"/>
    <w:rsid w:val="10170A8F"/>
    <w:rsid w:val="10815436"/>
    <w:rsid w:val="10BA4216"/>
    <w:rsid w:val="12217B86"/>
    <w:rsid w:val="123C09A1"/>
    <w:rsid w:val="124F624D"/>
    <w:rsid w:val="126F417E"/>
    <w:rsid w:val="13331AE4"/>
    <w:rsid w:val="138959E3"/>
    <w:rsid w:val="147839C4"/>
    <w:rsid w:val="14AB2DF5"/>
    <w:rsid w:val="157FA139"/>
    <w:rsid w:val="15EF415A"/>
    <w:rsid w:val="18654306"/>
    <w:rsid w:val="18731F9B"/>
    <w:rsid w:val="1A4563DB"/>
    <w:rsid w:val="1B82353E"/>
    <w:rsid w:val="1BD14A1C"/>
    <w:rsid w:val="1BD9327F"/>
    <w:rsid w:val="1C980375"/>
    <w:rsid w:val="1DFB4B0E"/>
    <w:rsid w:val="1E28404A"/>
    <w:rsid w:val="1E290C61"/>
    <w:rsid w:val="1E906667"/>
    <w:rsid w:val="1FD91AA0"/>
    <w:rsid w:val="1FEB4ADC"/>
    <w:rsid w:val="21012835"/>
    <w:rsid w:val="22CE29CA"/>
    <w:rsid w:val="242A409C"/>
    <w:rsid w:val="25FBB4CF"/>
    <w:rsid w:val="2622709F"/>
    <w:rsid w:val="26CA4CA5"/>
    <w:rsid w:val="27736594"/>
    <w:rsid w:val="28337089"/>
    <w:rsid w:val="285611FE"/>
    <w:rsid w:val="2A5902D3"/>
    <w:rsid w:val="2AFB5F99"/>
    <w:rsid w:val="2B6FAADE"/>
    <w:rsid w:val="2C56509E"/>
    <w:rsid w:val="2DAD524B"/>
    <w:rsid w:val="302763D4"/>
    <w:rsid w:val="324448ED"/>
    <w:rsid w:val="33953AD8"/>
    <w:rsid w:val="33EC6D45"/>
    <w:rsid w:val="3404280C"/>
    <w:rsid w:val="342B6C3B"/>
    <w:rsid w:val="34474DD2"/>
    <w:rsid w:val="347D80F8"/>
    <w:rsid w:val="34D31A54"/>
    <w:rsid w:val="34DB26F8"/>
    <w:rsid w:val="35EC5060"/>
    <w:rsid w:val="35F9013B"/>
    <w:rsid w:val="367A468A"/>
    <w:rsid w:val="36B47640"/>
    <w:rsid w:val="3829658E"/>
    <w:rsid w:val="3870241E"/>
    <w:rsid w:val="38BE13DB"/>
    <w:rsid w:val="38F16489"/>
    <w:rsid w:val="39080480"/>
    <w:rsid w:val="399F8A65"/>
    <w:rsid w:val="3A3B2671"/>
    <w:rsid w:val="3ABEE512"/>
    <w:rsid w:val="3B912340"/>
    <w:rsid w:val="3D821FA8"/>
    <w:rsid w:val="3D964ECC"/>
    <w:rsid w:val="3DBF1004"/>
    <w:rsid w:val="3EFA6835"/>
    <w:rsid w:val="3F3C4863"/>
    <w:rsid w:val="3F500557"/>
    <w:rsid w:val="3F5F458B"/>
    <w:rsid w:val="3F8F6459"/>
    <w:rsid w:val="40426A2B"/>
    <w:rsid w:val="408A6102"/>
    <w:rsid w:val="40BA27A7"/>
    <w:rsid w:val="41B644C2"/>
    <w:rsid w:val="41D6542A"/>
    <w:rsid w:val="426A6AEC"/>
    <w:rsid w:val="429C09DF"/>
    <w:rsid w:val="44897EAA"/>
    <w:rsid w:val="44D73F50"/>
    <w:rsid w:val="44E977E0"/>
    <w:rsid w:val="45D7436E"/>
    <w:rsid w:val="4695483C"/>
    <w:rsid w:val="46C5407D"/>
    <w:rsid w:val="477D57DD"/>
    <w:rsid w:val="49A44BED"/>
    <w:rsid w:val="49D22F38"/>
    <w:rsid w:val="4A380DCB"/>
    <w:rsid w:val="4BBD1C41"/>
    <w:rsid w:val="4C1A4723"/>
    <w:rsid w:val="4D305358"/>
    <w:rsid w:val="4DFF9EC2"/>
    <w:rsid w:val="4FC5161A"/>
    <w:rsid w:val="4FFE763F"/>
    <w:rsid w:val="50001485"/>
    <w:rsid w:val="50846CE2"/>
    <w:rsid w:val="51F6353C"/>
    <w:rsid w:val="52D76189"/>
    <w:rsid w:val="52DF9DB1"/>
    <w:rsid w:val="5370424B"/>
    <w:rsid w:val="53931362"/>
    <w:rsid w:val="53AC719C"/>
    <w:rsid w:val="540D6492"/>
    <w:rsid w:val="54321913"/>
    <w:rsid w:val="545F20C8"/>
    <w:rsid w:val="5764512D"/>
    <w:rsid w:val="57B15ED9"/>
    <w:rsid w:val="57C8113E"/>
    <w:rsid w:val="58E62564"/>
    <w:rsid w:val="596D4A2C"/>
    <w:rsid w:val="5A0E1D6B"/>
    <w:rsid w:val="5A6324D2"/>
    <w:rsid w:val="5A7C34DF"/>
    <w:rsid w:val="5AC74CCE"/>
    <w:rsid w:val="5CFFCD0A"/>
    <w:rsid w:val="5D004633"/>
    <w:rsid w:val="5D930818"/>
    <w:rsid w:val="5D990F8E"/>
    <w:rsid w:val="5DD52689"/>
    <w:rsid w:val="5E423C9A"/>
    <w:rsid w:val="5E7FF9BA"/>
    <w:rsid w:val="5EA77EBF"/>
    <w:rsid w:val="5ECF650F"/>
    <w:rsid w:val="5FDE5812"/>
    <w:rsid w:val="617D1584"/>
    <w:rsid w:val="61FE0917"/>
    <w:rsid w:val="62847E91"/>
    <w:rsid w:val="63C811DC"/>
    <w:rsid w:val="64366A3D"/>
    <w:rsid w:val="660F30F2"/>
    <w:rsid w:val="667C005C"/>
    <w:rsid w:val="66D10E74"/>
    <w:rsid w:val="66EE2624"/>
    <w:rsid w:val="677B697A"/>
    <w:rsid w:val="67A57018"/>
    <w:rsid w:val="67F7261E"/>
    <w:rsid w:val="68C53EAA"/>
    <w:rsid w:val="68C75093"/>
    <w:rsid w:val="68ED071C"/>
    <w:rsid w:val="6A0A597F"/>
    <w:rsid w:val="6BA82065"/>
    <w:rsid w:val="6BD57D6A"/>
    <w:rsid w:val="6BD77BCB"/>
    <w:rsid w:val="6CF796A2"/>
    <w:rsid w:val="6E6A5AD6"/>
    <w:rsid w:val="6EDA733E"/>
    <w:rsid w:val="6FF3138F"/>
    <w:rsid w:val="6FF5E7D8"/>
    <w:rsid w:val="70650C41"/>
    <w:rsid w:val="720A6395"/>
    <w:rsid w:val="727F86D5"/>
    <w:rsid w:val="739E6ADB"/>
    <w:rsid w:val="73AE523B"/>
    <w:rsid w:val="74026044"/>
    <w:rsid w:val="7405709B"/>
    <w:rsid w:val="743C63D3"/>
    <w:rsid w:val="75897E51"/>
    <w:rsid w:val="75BE2725"/>
    <w:rsid w:val="75FF21C6"/>
    <w:rsid w:val="76DB0611"/>
    <w:rsid w:val="77FF60D9"/>
    <w:rsid w:val="795F61DB"/>
    <w:rsid w:val="79FE411D"/>
    <w:rsid w:val="7A0D74F1"/>
    <w:rsid w:val="7A857688"/>
    <w:rsid w:val="7AFE9D87"/>
    <w:rsid w:val="7AFF2FB3"/>
    <w:rsid w:val="7B5F2BFA"/>
    <w:rsid w:val="7B7B9F1E"/>
    <w:rsid w:val="7BBE5CD9"/>
    <w:rsid w:val="7BF72E7A"/>
    <w:rsid w:val="7CD97B5E"/>
    <w:rsid w:val="7CFDFD23"/>
    <w:rsid w:val="7D292894"/>
    <w:rsid w:val="7D8F4C2B"/>
    <w:rsid w:val="7D985324"/>
    <w:rsid w:val="7DBBFCF2"/>
    <w:rsid w:val="7DE3400C"/>
    <w:rsid w:val="7DFFB6AC"/>
    <w:rsid w:val="7E7FAA0B"/>
    <w:rsid w:val="7EBF39EF"/>
    <w:rsid w:val="7F1BC600"/>
    <w:rsid w:val="7F3D7598"/>
    <w:rsid w:val="7F5FECB3"/>
    <w:rsid w:val="7F667D7C"/>
    <w:rsid w:val="7F9D4E5B"/>
    <w:rsid w:val="7FDB4040"/>
    <w:rsid w:val="7FDF2524"/>
    <w:rsid w:val="7FED8F67"/>
    <w:rsid w:val="7FEF450D"/>
    <w:rsid w:val="7FF69199"/>
    <w:rsid w:val="7FFB627E"/>
    <w:rsid w:val="7FFE7A74"/>
    <w:rsid w:val="7FFF0941"/>
    <w:rsid w:val="8FBFED10"/>
    <w:rsid w:val="8FEF0994"/>
    <w:rsid w:val="9CFB05F7"/>
    <w:rsid w:val="9EA346A5"/>
    <w:rsid w:val="9FFFAC23"/>
    <w:rsid w:val="AA7BEAA9"/>
    <w:rsid w:val="B077F144"/>
    <w:rsid w:val="B5D3EFDA"/>
    <w:rsid w:val="B757C29E"/>
    <w:rsid w:val="B9BFD771"/>
    <w:rsid w:val="BB7D1B05"/>
    <w:rsid w:val="BEFDC336"/>
    <w:rsid w:val="BF7F2E84"/>
    <w:rsid w:val="BFEF0D77"/>
    <w:rsid w:val="BFF01626"/>
    <w:rsid w:val="BFF713C0"/>
    <w:rsid w:val="CDED962D"/>
    <w:rsid w:val="D4FFEA44"/>
    <w:rsid w:val="D5FE3541"/>
    <w:rsid w:val="D7B568C5"/>
    <w:rsid w:val="D7DF2D68"/>
    <w:rsid w:val="D7FF58E1"/>
    <w:rsid w:val="DBF395B2"/>
    <w:rsid w:val="DBF74256"/>
    <w:rsid w:val="DEFF2D83"/>
    <w:rsid w:val="DF5F6C15"/>
    <w:rsid w:val="E66F35FF"/>
    <w:rsid w:val="EBDBC3E1"/>
    <w:rsid w:val="ED7BA173"/>
    <w:rsid w:val="EE6D64F6"/>
    <w:rsid w:val="EF9930BC"/>
    <w:rsid w:val="EFD328C4"/>
    <w:rsid w:val="EFDD331D"/>
    <w:rsid w:val="F36C23D1"/>
    <w:rsid w:val="F3BA8BB5"/>
    <w:rsid w:val="F3F14D86"/>
    <w:rsid w:val="F67F8FB7"/>
    <w:rsid w:val="F7BFEE93"/>
    <w:rsid w:val="F7E6C577"/>
    <w:rsid w:val="F7FFF6BC"/>
    <w:rsid w:val="F9FF584B"/>
    <w:rsid w:val="FABB235B"/>
    <w:rsid w:val="FAFDA3C5"/>
    <w:rsid w:val="FB755858"/>
    <w:rsid w:val="FBFF9D86"/>
    <w:rsid w:val="FDF714E5"/>
    <w:rsid w:val="FDFD27F4"/>
    <w:rsid w:val="FE1C7DC8"/>
    <w:rsid w:val="FE660CCB"/>
    <w:rsid w:val="FF14464C"/>
    <w:rsid w:val="FF5B8971"/>
    <w:rsid w:val="FFFA6800"/>
    <w:rsid w:val="FFFBB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cs="Arial"/>
      <w:b/>
      <w:bCs/>
      <w:sz w:val="28"/>
      <w:szCs w:val="28"/>
    </w:rPr>
  </w:style>
  <w:style w:type="character" w:default="1" w:styleId="23">
    <w:name w:val="Default Paragraph Font"/>
    <w:semiHidden/>
    <w:unhideWhenUsed/>
    <w:qFormat/>
    <w:uiPriority w:val="1"/>
  </w:style>
  <w:style w:type="table" w:default="1" w:styleId="2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next w:val="4"/>
    <w:qFormat/>
    <w:uiPriority w:val="0"/>
    <w:pPr>
      <w:ind w:firstLine="420"/>
    </w:pPr>
  </w:style>
  <w:style w:type="paragraph" w:customStyle="1" w:styleId="4">
    <w:name w:val="样式 正文文本 + 首行缩进:  2 字符"/>
    <w:qFormat/>
    <w:uiPriority w:val="99"/>
    <w:pPr>
      <w:spacing w:after="200" w:line="480" w:lineRule="exact"/>
      <w:ind w:firstLine="480" w:firstLineChars="200"/>
      <w:jc w:val="center"/>
    </w:pPr>
    <w:rPr>
      <w:rFonts w:ascii="宋体" w:hAnsi="宋体" w:eastAsia="Calibri" w:cs="Times New Roman"/>
      <w:sz w:val="24"/>
      <w:szCs w:val="22"/>
      <w:lang w:val="en-US" w:eastAsia="zh-CN" w:bidi="ar-SA"/>
    </w:rPr>
  </w:style>
  <w:style w:type="paragraph" w:styleId="5">
    <w:name w:val="annotation text"/>
    <w:basedOn w:val="1"/>
    <w:qFormat/>
    <w:uiPriority w:val="0"/>
    <w:pPr>
      <w:jc w:val="left"/>
    </w:pPr>
  </w:style>
  <w:style w:type="paragraph" w:styleId="6">
    <w:name w:val="Body Text"/>
    <w:basedOn w:val="1"/>
    <w:next w:val="7"/>
    <w:unhideWhenUsed/>
    <w:qFormat/>
    <w:uiPriority w:val="99"/>
    <w:pPr>
      <w:spacing w:after="120"/>
    </w:pPr>
    <w:rPr>
      <w:rFonts w:ascii="Times New Roman" w:hAnsi="Times New Roman" w:eastAsia="宋体" w:cs="Times New Roman"/>
    </w:rPr>
  </w:style>
  <w:style w:type="paragraph" w:customStyle="1" w:styleId="7">
    <w:name w:val="xl27"/>
    <w:basedOn w:val="1"/>
    <w:qFormat/>
    <w:uiPriority w:val="0"/>
    <w:pPr>
      <w:widowControl/>
      <w:pBdr>
        <w:bottom w:val="single" w:color="auto" w:sz="4" w:space="0"/>
        <w:right w:val="single" w:color="auto" w:sz="4" w:space="0"/>
      </w:pBdr>
      <w:spacing w:before="100" w:beforeAutospacing="1" w:after="100" w:afterAutospacing="1"/>
      <w:jc w:val="center"/>
    </w:pPr>
    <w:rPr>
      <w:rFonts w:eastAsia="Arial Unicode MS"/>
      <w:kern w:val="0"/>
      <w:szCs w:val="21"/>
    </w:rPr>
  </w:style>
  <w:style w:type="paragraph" w:styleId="8">
    <w:name w:val="Body Text Indent"/>
    <w:basedOn w:val="1"/>
    <w:next w:val="1"/>
    <w:link w:val="50"/>
    <w:qFormat/>
    <w:uiPriority w:val="0"/>
    <w:pPr>
      <w:spacing w:after="120"/>
      <w:ind w:left="420" w:leftChars="200"/>
    </w:pPr>
  </w:style>
  <w:style w:type="paragraph" w:styleId="9">
    <w:name w:val="Plain Text"/>
    <w:basedOn w:val="1"/>
    <w:next w:val="10"/>
    <w:link w:val="39"/>
    <w:qFormat/>
    <w:uiPriority w:val="0"/>
    <w:rPr>
      <w:rFonts w:ascii="宋体" w:hAnsi="Courier New" w:eastAsia="宋体" w:cs="Times New Roman"/>
    </w:rPr>
  </w:style>
  <w:style w:type="paragraph" w:styleId="10">
    <w:name w:val="List Number 5"/>
    <w:basedOn w:val="1"/>
    <w:qFormat/>
    <w:uiPriority w:val="0"/>
    <w:pPr>
      <w:numPr>
        <w:ilvl w:val="0"/>
        <w:numId w:val="1"/>
      </w:numPr>
    </w:pPr>
  </w:style>
  <w:style w:type="paragraph" w:styleId="11">
    <w:name w:val="List Bullet 5"/>
    <w:basedOn w:val="1"/>
    <w:qFormat/>
    <w:uiPriority w:val="0"/>
    <w:pPr>
      <w:numPr>
        <w:ilvl w:val="0"/>
        <w:numId w:val="2"/>
      </w:numPr>
    </w:pPr>
  </w:style>
  <w:style w:type="paragraph" w:styleId="12">
    <w:name w:val="Body Text Indent 2"/>
    <w:basedOn w:val="1"/>
    <w:link w:val="40"/>
    <w:qFormat/>
    <w:uiPriority w:val="0"/>
    <w:pPr>
      <w:spacing w:after="120" w:line="480" w:lineRule="auto"/>
      <w:ind w:left="420" w:leftChars="200"/>
    </w:pPr>
  </w:style>
  <w:style w:type="paragraph" w:styleId="13">
    <w:name w:val="Balloon Text"/>
    <w:basedOn w:val="1"/>
    <w:link w:val="49"/>
    <w:qFormat/>
    <w:uiPriority w:val="0"/>
    <w:rPr>
      <w:sz w:val="18"/>
      <w:szCs w:val="18"/>
    </w:rPr>
  </w:style>
  <w:style w:type="paragraph" w:styleId="14">
    <w:name w:val="footer"/>
    <w:basedOn w:val="1"/>
    <w:link w:val="37"/>
    <w:qFormat/>
    <w:uiPriority w:val="0"/>
    <w:pPr>
      <w:tabs>
        <w:tab w:val="center" w:pos="4153"/>
        <w:tab w:val="right" w:pos="8306"/>
      </w:tabs>
      <w:snapToGrid w:val="0"/>
      <w:jc w:val="left"/>
    </w:pPr>
    <w:rPr>
      <w:sz w:val="18"/>
      <w:szCs w:val="18"/>
    </w:rPr>
  </w:style>
  <w:style w:type="paragraph" w:styleId="15">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6">
    <w:name w:val="index heading"/>
    <w:basedOn w:val="1"/>
    <w:next w:val="17"/>
    <w:qFormat/>
    <w:uiPriority w:val="0"/>
    <w:pPr>
      <w:widowControl w:val="0"/>
      <w:adjustRightInd w:val="0"/>
      <w:spacing w:line="360" w:lineRule="auto"/>
      <w:ind w:firstLine="561"/>
      <w:jc w:val="both"/>
      <w:textAlignment w:val="baseline"/>
    </w:pPr>
    <w:rPr>
      <w:rFonts w:ascii="Times New Roman" w:hAnsi="Times New Roman" w:eastAsia="宋体" w:cs="Times New Roman"/>
      <w:kern w:val="0"/>
      <w:sz w:val="21"/>
      <w:szCs w:val="24"/>
      <w:lang w:val="en-US" w:eastAsia="zh-CN" w:bidi="ar-SA"/>
    </w:rPr>
  </w:style>
  <w:style w:type="paragraph" w:styleId="17">
    <w:name w:val="index 1"/>
    <w:basedOn w:val="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8">
    <w:name w:val="Body Text 2"/>
    <w:basedOn w:val="1"/>
    <w:qFormat/>
    <w:uiPriority w:val="0"/>
    <w:pPr>
      <w:spacing w:after="120" w:line="480" w:lineRule="auto"/>
    </w:pPr>
  </w:style>
  <w:style w:type="paragraph" w:styleId="19">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0">
    <w:name w:val="Body Text First Indent"/>
    <w:basedOn w:val="6"/>
    <w:next w:val="8"/>
    <w:qFormat/>
    <w:uiPriority w:val="0"/>
    <w:pPr>
      <w:keepNext w:val="0"/>
      <w:keepLines w:val="0"/>
      <w:widowControl w:val="0"/>
      <w:suppressLineNumbers w:val="0"/>
      <w:autoSpaceDE w:val="0"/>
      <w:autoSpaceDN w:val="0"/>
      <w:spacing w:before="213" w:beforeAutospacing="0" w:after="120" w:afterLines="0" w:afterAutospacing="0" w:line="360" w:lineRule="auto"/>
      <w:ind w:left="219" w:firstLine="420" w:firstLineChars="100"/>
      <w:jc w:val="both"/>
    </w:pPr>
    <w:rPr>
      <w:rFonts w:hint="default" w:ascii="Times New Roman" w:hAnsi="Times New Roman" w:eastAsia="宋体" w:cs="Times New Roman"/>
      <w:kern w:val="2"/>
      <w:sz w:val="21"/>
      <w:szCs w:val="21"/>
      <w:lang w:val="en-US" w:eastAsia="zh-CN" w:bidi="ar"/>
    </w:rPr>
  </w:style>
  <w:style w:type="paragraph" w:styleId="21">
    <w:name w:val="Body Text First Indent 2"/>
    <w:basedOn w:val="8"/>
    <w:next w:val="9"/>
    <w:link w:val="51"/>
    <w:qFormat/>
    <w:uiPriority w:val="0"/>
    <w:pPr>
      <w:ind w:firstLine="420" w:firstLineChars="200"/>
    </w:pPr>
  </w:style>
  <w:style w:type="character" w:styleId="24">
    <w:name w:val="FollowedHyperlink"/>
    <w:basedOn w:val="23"/>
    <w:qFormat/>
    <w:uiPriority w:val="0"/>
    <w:rPr>
      <w:color w:val="800080"/>
      <w:u w:val="single"/>
    </w:rPr>
  </w:style>
  <w:style w:type="character" w:styleId="25">
    <w:name w:val="Hyperlink"/>
    <w:basedOn w:val="23"/>
    <w:qFormat/>
    <w:uiPriority w:val="0"/>
    <w:rPr>
      <w:color w:val="0000FF"/>
      <w:u w:val="single"/>
    </w:rPr>
  </w:style>
  <w:style w:type="paragraph" w:customStyle="1" w:styleId="26">
    <w:name w:val="正文 首行缩进:  2 字符"/>
    <w:basedOn w:val="1"/>
    <w:qFormat/>
    <w:uiPriority w:val="0"/>
    <w:pPr>
      <w:adjustRightInd w:val="0"/>
      <w:snapToGrid w:val="0"/>
      <w:spacing w:line="500" w:lineRule="exact"/>
      <w:ind w:firstLine="480"/>
    </w:pPr>
    <w:rPr>
      <w:rFonts w:eastAsia="楷体_GB2312"/>
      <w:lang w:val="zh-CN"/>
    </w:rPr>
  </w:style>
  <w:style w:type="paragraph" w:customStyle="1" w:styleId="27">
    <w:name w:val="样式 样式 样式 四号 左侧:  1.53 厘米 + 首行缩进:  2 字符 + 居中 左侧:  2 字符 首行缩进:  2..."/>
    <w:basedOn w:val="28"/>
    <w:qFormat/>
    <w:uiPriority w:val="0"/>
    <w:pPr>
      <w:jc w:val="center"/>
    </w:pPr>
  </w:style>
  <w:style w:type="paragraph" w:customStyle="1" w:styleId="28">
    <w:name w:val="样式 样式 四号 左侧:  1.53 厘米 + 首行缩进:  2 字符"/>
    <w:basedOn w:val="29"/>
    <w:qFormat/>
    <w:uiPriority w:val="0"/>
    <w:pPr>
      <w:ind w:left="200" w:leftChars="200"/>
    </w:pPr>
    <w:rPr>
      <w:szCs w:val="20"/>
    </w:rPr>
  </w:style>
  <w:style w:type="paragraph" w:customStyle="1" w:styleId="29">
    <w:name w:val="样式 四号 左侧:  1.53 厘米"/>
    <w:basedOn w:val="1"/>
    <w:qFormat/>
    <w:uiPriority w:val="0"/>
    <w:pPr>
      <w:adjustRightInd w:val="0"/>
    </w:pPr>
    <w:rPr>
      <w:w w:val="90"/>
      <w:sz w:val="28"/>
      <w:szCs w:val="28"/>
    </w:rPr>
  </w:style>
  <w:style w:type="paragraph" w:customStyle="1" w:styleId="30">
    <w:name w:val="正文(首行缩进)"/>
    <w:basedOn w:val="1"/>
    <w:next w:val="1"/>
    <w:qFormat/>
    <w:uiPriority w:val="0"/>
    <w:pPr>
      <w:spacing w:line="360" w:lineRule="auto"/>
      <w:ind w:firstLine="540" w:firstLineChars="225"/>
    </w:pPr>
    <w:rPr>
      <w:snapToGrid w:val="0"/>
      <w:color w:val="000000"/>
      <w:kern w:val="0"/>
      <w:sz w:val="24"/>
      <w:szCs w:val="24"/>
    </w:rPr>
  </w:style>
  <w:style w:type="paragraph" w:customStyle="1" w:styleId="31">
    <w:name w:val="Default"/>
    <w:basedOn w:val="32"/>
    <w:next w:val="1"/>
    <w:qFormat/>
    <w:uiPriority w:val="0"/>
    <w:pPr>
      <w:widowControl w:val="0"/>
      <w:tabs>
        <w:tab w:val="left" w:pos="2760"/>
      </w:tabs>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2">
    <w:name w:val="纯文本1"/>
    <w:basedOn w:val="1"/>
    <w:qFormat/>
    <w:uiPriority w:val="0"/>
    <w:pPr>
      <w:tabs>
        <w:tab w:val="left" w:pos="2760"/>
      </w:tabs>
      <w:adjustRightInd w:val="0"/>
    </w:pPr>
    <w:rPr>
      <w:rFonts w:ascii="宋体" w:hAnsi="Courier New"/>
    </w:rPr>
  </w:style>
  <w:style w:type="paragraph" w:customStyle="1" w:styleId="33">
    <w:name w:val="表格"/>
    <w:basedOn w:val="3"/>
    <w:next w:val="18"/>
    <w:link w:val="38"/>
    <w:qFormat/>
    <w:uiPriority w:val="0"/>
    <w:pPr>
      <w:adjustRightInd w:val="0"/>
      <w:snapToGrid w:val="0"/>
      <w:spacing w:before="10" w:beforeLines="10" w:after="10" w:afterLines="10" w:line="260" w:lineRule="auto"/>
      <w:ind w:firstLine="0"/>
      <w:jc w:val="center"/>
    </w:pPr>
    <w:rPr>
      <w:rFonts w:ascii="Calibri" w:hAnsi="Calibri" w:eastAsia="宋体"/>
      <w:kern w:val="0"/>
      <w:szCs w:val="20"/>
    </w:rPr>
  </w:style>
  <w:style w:type="paragraph" w:customStyle="1" w:styleId="34">
    <w:name w:val="表格内"/>
    <w:basedOn w:val="1"/>
    <w:qFormat/>
    <w:uiPriority w:val="0"/>
    <w:pPr>
      <w:widowControl/>
      <w:adjustRightInd w:val="0"/>
      <w:snapToGrid w:val="0"/>
      <w:spacing w:after="200" w:line="360" w:lineRule="exact"/>
      <w:jc w:val="center"/>
    </w:pPr>
    <w:rPr>
      <w:rFonts w:eastAsia="微软雅黑"/>
      <w:snapToGrid w:val="0"/>
      <w:kern w:val="0"/>
      <w:sz w:val="22"/>
      <w:szCs w:val="21"/>
    </w:rPr>
  </w:style>
  <w:style w:type="paragraph" w:customStyle="1" w:styleId="35">
    <w:name w:val="ENFI正文"/>
    <w:basedOn w:val="1"/>
    <w:qFormat/>
    <w:uiPriority w:val="0"/>
    <w:pPr>
      <w:spacing w:line="360" w:lineRule="auto"/>
      <w:ind w:firstLine="700" w:firstLineChars="250"/>
    </w:pPr>
    <w:rPr>
      <w:rFonts w:ascii="宋体" w:hAnsi="宋体"/>
      <w:kern w:val="0"/>
      <w:sz w:val="28"/>
      <w:szCs w:val="28"/>
    </w:rPr>
  </w:style>
  <w:style w:type="character" w:customStyle="1" w:styleId="36">
    <w:name w:val="页眉 Char"/>
    <w:basedOn w:val="23"/>
    <w:link w:val="15"/>
    <w:qFormat/>
    <w:uiPriority w:val="0"/>
    <w:rPr>
      <w:rFonts w:asciiTheme="minorHAnsi" w:hAnsiTheme="minorHAnsi" w:eastAsiaTheme="minorEastAsia" w:cstheme="minorBidi"/>
      <w:kern w:val="2"/>
      <w:sz w:val="18"/>
      <w:szCs w:val="18"/>
    </w:rPr>
  </w:style>
  <w:style w:type="character" w:customStyle="1" w:styleId="37">
    <w:name w:val="页脚 Char"/>
    <w:basedOn w:val="23"/>
    <w:link w:val="14"/>
    <w:qFormat/>
    <w:uiPriority w:val="0"/>
    <w:rPr>
      <w:rFonts w:asciiTheme="minorHAnsi" w:hAnsiTheme="minorHAnsi" w:eastAsiaTheme="minorEastAsia" w:cstheme="minorBidi"/>
      <w:kern w:val="2"/>
      <w:sz w:val="18"/>
      <w:szCs w:val="18"/>
    </w:rPr>
  </w:style>
  <w:style w:type="character" w:customStyle="1" w:styleId="38">
    <w:name w:val="表格 Char"/>
    <w:link w:val="33"/>
    <w:qFormat/>
    <w:locked/>
    <w:uiPriority w:val="0"/>
    <w:rPr>
      <w:rFonts w:cstheme="minorBidi"/>
      <w:sz w:val="21"/>
    </w:rPr>
  </w:style>
  <w:style w:type="character" w:customStyle="1" w:styleId="39">
    <w:name w:val="纯文本 Char"/>
    <w:basedOn w:val="23"/>
    <w:link w:val="9"/>
    <w:qFormat/>
    <w:uiPriority w:val="0"/>
    <w:rPr>
      <w:rFonts w:ascii="宋体" w:hAnsi="Courier New"/>
      <w:kern w:val="2"/>
      <w:sz w:val="21"/>
      <w:szCs w:val="24"/>
    </w:rPr>
  </w:style>
  <w:style w:type="character" w:customStyle="1" w:styleId="40">
    <w:name w:val="正文文本缩进 2 Char"/>
    <w:basedOn w:val="23"/>
    <w:link w:val="12"/>
    <w:qFormat/>
    <w:uiPriority w:val="0"/>
    <w:rPr>
      <w:rFonts w:asciiTheme="minorHAnsi" w:hAnsiTheme="minorHAnsi" w:eastAsiaTheme="minorEastAsia" w:cstheme="minorBidi"/>
      <w:kern w:val="2"/>
      <w:sz w:val="21"/>
      <w:szCs w:val="24"/>
    </w:rPr>
  </w:style>
  <w:style w:type="character" w:customStyle="1" w:styleId="41">
    <w:name w:val="fontstyle21"/>
    <w:qFormat/>
    <w:uiPriority w:val="0"/>
    <w:rPr>
      <w:rFonts w:hint="eastAsia" w:ascii="宋体" w:hAnsi="宋体" w:eastAsia="宋体"/>
      <w:color w:val="000000"/>
      <w:sz w:val="24"/>
      <w:szCs w:val="24"/>
    </w:rPr>
  </w:style>
  <w:style w:type="paragraph" w:customStyle="1" w:styleId="42">
    <w:name w:val="个人正文1"/>
    <w:basedOn w:val="1"/>
    <w:qFormat/>
    <w:uiPriority w:val="0"/>
    <w:pPr>
      <w:spacing w:line="360" w:lineRule="auto"/>
      <w:ind w:firstLine="200" w:firstLineChars="200"/>
    </w:pPr>
    <w:rPr>
      <w:rFonts w:ascii="宋体" w:hAnsi="宋体" w:eastAsia="宋体" w:cs="黑体"/>
      <w:sz w:val="24"/>
    </w:rPr>
  </w:style>
  <w:style w:type="character" w:customStyle="1" w:styleId="43">
    <w:name w:val="表内容 Char"/>
    <w:link w:val="44"/>
    <w:qFormat/>
    <w:uiPriority w:val="0"/>
    <w:rPr>
      <w:snapToGrid w:val="0"/>
      <w:sz w:val="21"/>
      <w:szCs w:val="21"/>
    </w:rPr>
  </w:style>
  <w:style w:type="paragraph" w:customStyle="1" w:styleId="44">
    <w:name w:val="表内容"/>
    <w:basedOn w:val="1"/>
    <w:next w:val="1"/>
    <w:link w:val="43"/>
    <w:qFormat/>
    <w:uiPriority w:val="0"/>
    <w:pPr>
      <w:adjustRightInd w:val="0"/>
      <w:snapToGrid w:val="0"/>
      <w:spacing w:line="0" w:lineRule="atLeast"/>
      <w:jc w:val="center"/>
    </w:pPr>
    <w:rPr>
      <w:rFonts w:ascii="Calibri" w:hAnsi="Calibri" w:eastAsia="宋体" w:cs="Times New Roman"/>
      <w:snapToGrid w:val="0"/>
      <w:kern w:val="0"/>
      <w:szCs w:val="21"/>
    </w:rPr>
  </w:style>
  <w:style w:type="paragraph" w:customStyle="1" w:styleId="45">
    <w:name w:val="_Style 5"/>
    <w:basedOn w:val="1"/>
    <w:qFormat/>
    <w:uiPriority w:val="0"/>
    <w:rPr>
      <w:rFonts w:ascii="Times New Roman" w:hAnsi="Times New Roman" w:eastAsia="宋体" w:cs="Times New Roman"/>
    </w:rPr>
  </w:style>
  <w:style w:type="paragraph" w:customStyle="1" w:styleId="46">
    <w:name w:val="5标准正文"/>
    <w:basedOn w:val="1"/>
    <w:qFormat/>
    <w:uiPriority w:val="0"/>
    <w:pPr>
      <w:spacing w:line="460" w:lineRule="exact"/>
      <w:ind w:firstLine="200" w:firstLineChars="200"/>
    </w:pPr>
    <w:rPr>
      <w:rFonts w:ascii="Times New Roman" w:hAnsi="Times New Roman" w:eastAsia="宋体" w:cs="Times New Roman"/>
      <w:sz w:val="24"/>
      <w:szCs w:val="20"/>
    </w:rPr>
  </w:style>
  <w:style w:type="character" w:customStyle="1" w:styleId="47">
    <w:name w:val="正文000000 Char"/>
    <w:link w:val="48"/>
    <w:qFormat/>
    <w:uiPriority w:val="0"/>
    <w:rPr>
      <w:rFonts w:ascii="宋体" w:hAnsi="宋体" w:cs="宋体"/>
      <w:kern w:val="2"/>
      <w:sz w:val="24"/>
      <w:szCs w:val="24"/>
    </w:rPr>
  </w:style>
  <w:style w:type="paragraph" w:customStyle="1" w:styleId="48">
    <w:name w:val="正文000000"/>
    <w:basedOn w:val="1"/>
    <w:next w:val="1"/>
    <w:link w:val="47"/>
    <w:qFormat/>
    <w:uiPriority w:val="0"/>
    <w:pPr>
      <w:adjustRightInd w:val="0"/>
      <w:snapToGrid w:val="0"/>
      <w:spacing w:line="360" w:lineRule="auto"/>
      <w:ind w:firstLine="200" w:firstLineChars="200"/>
    </w:pPr>
    <w:rPr>
      <w:rFonts w:ascii="宋体" w:hAnsi="宋体" w:eastAsia="宋体" w:cs="宋体"/>
      <w:sz w:val="24"/>
    </w:rPr>
  </w:style>
  <w:style w:type="character" w:customStyle="1" w:styleId="49">
    <w:name w:val="批注框文本 Char"/>
    <w:basedOn w:val="23"/>
    <w:link w:val="13"/>
    <w:qFormat/>
    <w:uiPriority w:val="0"/>
    <w:rPr>
      <w:rFonts w:asciiTheme="minorHAnsi" w:hAnsiTheme="minorHAnsi" w:eastAsiaTheme="minorEastAsia" w:cstheme="minorBidi"/>
      <w:kern w:val="2"/>
      <w:sz w:val="18"/>
      <w:szCs w:val="18"/>
    </w:rPr>
  </w:style>
  <w:style w:type="character" w:customStyle="1" w:styleId="50">
    <w:name w:val="正文文本缩进 Char"/>
    <w:basedOn w:val="23"/>
    <w:link w:val="8"/>
    <w:qFormat/>
    <w:uiPriority w:val="0"/>
    <w:rPr>
      <w:rFonts w:asciiTheme="minorHAnsi" w:hAnsiTheme="minorHAnsi" w:eastAsiaTheme="minorEastAsia" w:cstheme="minorBidi"/>
      <w:kern w:val="2"/>
      <w:sz w:val="21"/>
      <w:szCs w:val="24"/>
    </w:rPr>
  </w:style>
  <w:style w:type="character" w:customStyle="1" w:styleId="51">
    <w:name w:val="正文首行缩进 2 Char"/>
    <w:basedOn w:val="50"/>
    <w:link w:val="21"/>
    <w:qFormat/>
    <w:uiPriority w:val="0"/>
    <w:rPr>
      <w:rFonts w:asciiTheme="minorHAnsi" w:hAnsiTheme="minorHAnsi" w:eastAsiaTheme="minorEastAsia" w:cstheme="minorBidi"/>
      <w:kern w:val="2"/>
      <w:sz w:val="21"/>
      <w:szCs w:val="24"/>
    </w:rPr>
  </w:style>
  <w:style w:type="paragraph" w:customStyle="1" w:styleId="52">
    <w:name w:val="样式4"/>
    <w:basedOn w:val="53"/>
    <w:qFormat/>
    <w:uiPriority w:val="0"/>
    <w:rPr>
      <w:rFonts w:ascii="宋体" w:hAnsi="宋体"/>
    </w:rPr>
  </w:style>
  <w:style w:type="paragraph" w:customStyle="1" w:styleId="53">
    <w:name w:val="样式3"/>
    <w:basedOn w:val="1"/>
    <w:qFormat/>
    <w:uiPriority w:val="0"/>
    <w:pPr>
      <w:ind w:firstLine="480"/>
    </w:pPr>
    <w:rPr>
      <w:color w:val="0070C0"/>
      <w:szCs w:val="24"/>
    </w:rPr>
  </w:style>
  <w:style w:type="paragraph" w:customStyle="1" w:styleId="54">
    <w:name w:val="样式5"/>
    <w:basedOn w:val="53"/>
    <w:qFormat/>
    <w:uiPriority w:val="0"/>
  </w:style>
  <w:style w:type="paragraph" w:customStyle="1" w:styleId="55">
    <w:name w:val="样式1"/>
    <w:basedOn w:val="16"/>
    <w:next w:val="1"/>
    <w:qFormat/>
    <w:uiPriority w:val="0"/>
    <w:pPr>
      <w:widowControl w:val="0"/>
      <w:adjustRightInd w:val="0"/>
      <w:snapToGrid w:val="0"/>
      <w:spacing w:line="360" w:lineRule="auto"/>
      <w:ind w:firstLine="561"/>
      <w:jc w:val="center"/>
      <w:textAlignment w:val="baseline"/>
    </w:pPr>
    <w:rPr>
      <w:rFonts w:ascii="宋体" w:hAnsi="Times New Roman" w:eastAsia="宋体" w:cs="Times New Roman"/>
      <w:kern w:val="0"/>
      <w:sz w:val="21"/>
      <w:szCs w:val="24"/>
      <w:lang w:val="en-US" w:eastAsia="zh-CN" w:bidi="ar-SA"/>
    </w:rPr>
  </w:style>
  <w:style w:type="paragraph" w:customStyle="1" w:styleId="56">
    <w:name w:val="内容正文"/>
    <w:basedOn w:val="1"/>
    <w:qFormat/>
    <w:uiPriority w:val="0"/>
    <w:pPr>
      <w:adjustRightInd w:val="0"/>
      <w:snapToGrid w:val="0"/>
      <w:spacing w:line="360" w:lineRule="auto"/>
      <w:ind w:firstLine="200" w:firstLineChars="200"/>
    </w:pPr>
    <w:rPr>
      <w:rFonts w:cs="宋体"/>
      <w:szCs w:val="21"/>
    </w:rPr>
  </w:style>
  <w:style w:type="paragraph" w:customStyle="1" w:styleId="57">
    <w:name w:val="Body Text First Indent 21"/>
    <w:basedOn w:val="58"/>
    <w:qFormat/>
    <w:uiPriority w:val="0"/>
    <w:pPr>
      <w:ind w:left="0" w:leftChars="0" w:firstLine="420"/>
    </w:pPr>
    <w:rPr>
      <w:rFonts w:ascii="Times New Roman" w:hAnsi="Times New Roman"/>
      <w:szCs w:val="22"/>
    </w:rPr>
  </w:style>
  <w:style w:type="paragraph" w:customStyle="1" w:styleId="58">
    <w:name w:val="Body Text Indent1"/>
    <w:basedOn w:val="1"/>
    <w:qFormat/>
    <w:uiPriority w:val="0"/>
    <w:pPr>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70e4bdfe-24eb-44c4-8664-0f57075fe272</errorID>
      <errorWord xmlns="http://schemas.wps.cn/vas-ai-hub/contract-review">垃圾填埋区</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垃圾填埋场</item>
      </candidateList>
      <explain xmlns="http://schemas.wps.cn/vas-ai-hub/contract-review"/>
      <paraID xmlns="http://schemas.wps.cn/vas-ai-hub/contract-review">2E688282</paraID>
      <start xmlns="http://schemas.wps.cn/vas-ai-hub/contract-review">37</start>
      <end xmlns="http://schemas.wps.cn/vas-ai-hub/contract-review">42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8ff79436-b116-4469-8edf-41415158af4b</errorID>
      <errorWord xmlns="http://schemas.wps.cn/vas-ai-hub/contract-review">消音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消声</item>
      </candidateList>
      <explain xmlns="http://schemas.wps.cn/vas-ai-hub/contract-review"/>
      <paraID xmlns="http://schemas.wps.cn/vas-ai-hub/contract-review">2750CC43</paraID>
      <start xmlns="http://schemas.wps.cn/vas-ai-hub/contract-review">99</start>
      <end xmlns="http://schemas.wps.cn/vas-ai-hub/contract-review">101</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cae1e539-8577-4738-85da-d6958117eb12}">
  <ds:schemaRefs/>
</ds:datastoreItem>
</file>

<file path=docProps/app.xml><?xml version="1.0" encoding="utf-8"?>
<Properties xmlns="http://schemas.openxmlformats.org/officeDocument/2006/extended-properties" xmlns:vt="http://schemas.openxmlformats.org/officeDocument/2006/docPropsVTypes">
  <Template>Normal</Template>
  <Company>Sinopec</Company>
  <Pages>2</Pages>
  <Words>2007</Words>
  <Characters>2208</Characters>
  <Lines>11</Lines>
  <Paragraphs>3</Paragraphs>
  <TotalTime>4</TotalTime>
  <ScaleCrop>false</ScaleCrop>
  <LinksUpToDate>false</LinksUpToDate>
  <CharactersWithSpaces>2208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2021-03-25T20:34:00Z</dcterms:created>
  <dc:creator>Administrator</dc:creator>
  <cp:lastModifiedBy>天涯客</cp:lastModifiedBy>
  <cp:lastPrinted>2025-09-06T11:25:00Z</cp:lastPrinted>
  <dcterms:modified xsi:type="dcterms:W3CDTF">2026-09-23T20:58:58Z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SaveFontToCloudKey">
    <vt:lpwstr>332412424_cloud</vt:lpwstr>
  </property>
  <property fmtid="{D5CDD505-2E9C-101B-9397-08002B2CF9AE}" pid="4" name="ICV">
    <vt:lpwstr>FE7AE17019FE4C3E91C766CC2D0FBDF9_13</vt:lpwstr>
  </property>
  <property fmtid="{D5CDD505-2E9C-101B-9397-08002B2CF9AE}" pid="5" name="KSOTemplateDocerSaveRecord">
    <vt:lpwstr>eyJoZGlkIjoiNTU0ZmIwYTQ3NzlmZGUxZmU3Zjk0M2IyZTNmM2IxNjAiLCJ1c2VySWQiOiIxMDU2NTI2MzgwIn0=</vt:lpwstr>
  </property>
</Properties>
</file>