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adjustRightInd w:val="0"/>
        <w:snapToGrid w:val="0"/>
        <w:jc w:val="center"/>
        <w:rPr>
          <w:rFonts w:hint="default" w:ascii="Times New Roman" w:hAnsi="Times New Roman" w:eastAsia="方正小标宋简体" w:cs="Times New Roman"/>
          <w:color w:val="FF0000"/>
          <w:sz w:val="44"/>
          <w:szCs w:val="44"/>
          <w:highlight w:val="none"/>
        </w:rPr>
      </w:pPr>
      <w:r>
        <w:rPr>
          <w:rFonts w:hint="default" w:ascii="Times New Roman" w:hAnsi="Times New Roman" w:eastAsia="方正小标宋简体" w:cs="Times New Roman"/>
          <w:sz w:val="44"/>
          <w:szCs w:val="44"/>
          <w:highlight w:val="none"/>
        </w:rPr>
        <w:t>第三师图木舒克市生态环境局关于</w:t>
      </w:r>
      <w:r>
        <w:rPr>
          <w:rFonts w:hint="default" w:ascii="Times New Roman" w:hAnsi="Times New Roman" w:eastAsia="方正小标宋简体" w:cs="Times New Roman"/>
          <w:color w:val="auto"/>
          <w:sz w:val="44"/>
          <w:szCs w:val="44"/>
          <w:highlight w:val="none"/>
        </w:rPr>
        <w:t>202</w:t>
      </w:r>
      <w:r>
        <w:rPr>
          <w:rFonts w:hint="eastAsia" w:ascii="Times New Roman" w:hAnsi="Times New Roman" w:eastAsia="方正小标宋简体" w:cs="Times New Roman"/>
          <w:color w:val="auto"/>
          <w:sz w:val="44"/>
          <w:szCs w:val="44"/>
          <w:highlight w:val="none"/>
          <w:lang w:val="en-US" w:eastAsia="zh-CN"/>
        </w:rPr>
        <w:t>6</w:t>
      </w:r>
      <w:r>
        <w:rPr>
          <w:rFonts w:hint="default" w:ascii="Times New Roman" w:hAnsi="Times New Roman" w:eastAsia="方正小标宋简体" w:cs="Times New Roman"/>
          <w:color w:val="auto"/>
          <w:sz w:val="44"/>
          <w:szCs w:val="44"/>
          <w:highlight w:val="none"/>
        </w:rPr>
        <w:t>年</w:t>
      </w:r>
      <w:r>
        <w:rPr>
          <w:rFonts w:hint="eastAsia" w:ascii="Times New Roman" w:hAnsi="Times New Roman" w:eastAsia="方正小标宋简体" w:cs="Times New Roman"/>
          <w:color w:val="auto"/>
          <w:sz w:val="44"/>
          <w:szCs w:val="44"/>
          <w:highlight w:val="none"/>
          <w:lang w:val="en-US" w:eastAsia="zh-CN"/>
        </w:rPr>
        <w:t>1</w:t>
      </w:r>
      <w:r>
        <w:rPr>
          <w:rFonts w:hint="default" w:ascii="Times New Roman" w:hAnsi="Times New Roman" w:eastAsia="方正小标宋简体" w:cs="Times New Roman"/>
          <w:color w:val="auto"/>
          <w:sz w:val="44"/>
          <w:szCs w:val="44"/>
          <w:highlight w:val="none"/>
        </w:rPr>
        <w:t>月</w:t>
      </w:r>
      <w:r>
        <w:rPr>
          <w:rFonts w:hint="eastAsia" w:ascii="Times New Roman" w:hAnsi="Times New Roman" w:eastAsia="方正小标宋简体" w:cs="Times New Roman"/>
          <w:color w:val="auto"/>
          <w:sz w:val="44"/>
          <w:szCs w:val="44"/>
          <w:highlight w:val="none"/>
          <w:lang w:val="en-US" w:eastAsia="zh-CN"/>
        </w:rPr>
        <w:t>20</w:t>
      </w:r>
      <w:r>
        <w:rPr>
          <w:rFonts w:hint="default" w:ascii="Times New Roman" w:hAnsi="Times New Roman" w:eastAsia="方正小标宋简体" w:cs="Times New Roman"/>
          <w:color w:val="auto"/>
          <w:sz w:val="44"/>
          <w:szCs w:val="44"/>
          <w:highlight w:val="none"/>
        </w:rPr>
        <w:t>日</w:t>
      </w:r>
    </w:p>
    <w:p w14:paraId="322D7F4B">
      <w:pPr>
        <w:adjustRightInd w:val="0"/>
        <w:snapToGrid w:val="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拟作出的建设项目环境影响评价</w:t>
      </w:r>
    </w:p>
    <w:p w14:paraId="76D71732">
      <w:pPr>
        <w:adjustRightInd w:val="0"/>
        <w:snapToGrid w:val="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文件审批意见的公示</w:t>
      </w:r>
    </w:p>
    <w:p w14:paraId="3C88806A">
      <w:pPr>
        <w:adjustRightInd w:val="0"/>
        <w:snapToGrid w:val="0"/>
        <w:spacing w:line="600" w:lineRule="exact"/>
        <w:ind w:firstLine="640" w:firstLineChars="200"/>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sz w:val="32"/>
          <w:szCs w:val="32"/>
          <w:highlight w:val="none"/>
        </w:rPr>
        <w:t>根据建设项目环境影响评价审批程序的有关规定，经审查，</w:t>
      </w:r>
      <w:r>
        <w:rPr>
          <w:rFonts w:hint="default" w:ascii="Times New Roman" w:hAnsi="Times New Roman" w:eastAsia="仿宋" w:cs="Times New Roman"/>
          <w:sz w:val="32"/>
          <w:szCs w:val="32"/>
          <w:highlight w:val="none"/>
          <w:lang w:eastAsia="zh-CN"/>
        </w:rPr>
        <w:t>202</w:t>
      </w:r>
      <w:r>
        <w:rPr>
          <w:rFonts w:hint="eastAsia"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日我局拟对</w:t>
      </w: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个建设项目环境影响评价文件作出审批意见。为保证建设项目审查工作的严肃性和公正性，现将拟作出审批意见的环境影响评价文件基本情况予以公示。</w:t>
      </w:r>
      <w:r>
        <w:rPr>
          <w:rFonts w:hint="default" w:ascii="Times New Roman" w:hAnsi="Times New Roman" w:eastAsia="仿宋" w:cs="Times New Roman"/>
          <w:sz w:val="32"/>
          <w:szCs w:val="32"/>
          <w:highlight w:val="none"/>
        </w:rPr>
        <w:t>公示期为</w:t>
      </w:r>
      <w:r>
        <w:rPr>
          <w:rFonts w:hint="default" w:ascii="Times New Roman" w:hAnsi="Times New Roman" w:eastAsia="仿宋" w:cs="Times New Roman"/>
          <w:color w:val="auto"/>
          <w:sz w:val="32"/>
          <w:szCs w:val="32"/>
          <w:highlight w:val="none"/>
          <w:lang w:eastAsia="zh-CN"/>
        </w:rPr>
        <w:t>202</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32"/>
          <w:szCs w:val="32"/>
          <w:highlight w:val="none"/>
          <w:lang w:eastAsia="zh-CN"/>
        </w:rPr>
        <w:t>202</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26</w:t>
      </w:r>
      <w:r>
        <w:rPr>
          <w:rFonts w:hint="default" w:ascii="Times New Roman" w:hAnsi="Times New Roman" w:eastAsia="仿宋" w:cs="Times New Roman"/>
          <w:color w:val="auto"/>
          <w:sz w:val="32"/>
          <w:szCs w:val="32"/>
          <w:highlight w:val="none"/>
        </w:rPr>
        <w:t>日（5个工作日）</w:t>
      </w:r>
      <w:r>
        <w:rPr>
          <w:rFonts w:hint="default" w:ascii="Times New Roman" w:hAnsi="Times New Roman" w:eastAsia="仿宋" w:cs="Times New Roman"/>
          <w:color w:val="auto"/>
          <w:sz w:val="32"/>
          <w:szCs w:val="32"/>
          <w:highlight w:val="none"/>
        </w:rPr>
        <w:t>。</w:t>
      </w:r>
    </w:p>
    <w:p w14:paraId="7E8DF867">
      <w:pPr>
        <w:adjustRightInd w:val="0"/>
        <w:snapToGrid w:val="0"/>
        <w:spacing w:line="600" w:lineRule="exact"/>
        <w:ind w:firstLine="640" w:firstLineChars="20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听证权利告知：依据《中华人民共和国行政许可法》，自公示起5日内申请人、利害关系人可对拟作出的建设项目环境影响评价文件审批意见要求听证。</w:t>
      </w:r>
    </w:p>
    <w:p w14:paraId="6E1D4CCC">
      <w:pPr>
        <w:adjustRightInd w:val="0"/>
        <w:snapToGrid w:val="0"/>
        <w:spacing w:line="600" w:lineRule="exact"/>
        <w:ind w:firstLine="640" w:firstLineChars="200"/>
        <w:jc w:val="left"/>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sz w:val="32"/>
          <w:szCs w:val="32"/>
          <w:highlight w:val="none"/>
        </w:rPr>
        <w:t>联系电话：</w:t>
      </w:r>
      <w:r>
        <w:rPr>
          <w:rFonts w:hint="default" w:ascii="Times New Roman" w:hAnsi="Times New Roman" w:eastAsia="仿宋" w:cs="Times New Roman"/>
          <w:color w:val="000000"/>
          <w:sz w:val="32"/>
          <w:szCs w:val="32"/>
          <w:highlight w:val="none"/>
        </w:rPr>
        <w:t>0998-5</w:t>
      </w:r>
      <w:r>
        <w:rPr>
          <w:rFonts w:hint="default" w:ascii="Times New Roman" w:hAnsi="Times New Roman" w:eastAsia="仿宋" w:cs="Times New Roman"/>
          <w:color w:val="000000"/>
          <w:sz w:val="32"/>
          <w:szCs w:val="32"/>
          <w:highlight w:val="none"/>
          <w:lang w:val="en-US" w:eastAsia="zh-CN"/>
        </w:rPr>
        <w:t>886525</w:t>
      </w:r>
    </w:p>
    <w:p w14:paraId="43A39E54">
      <w:pPr>
        <w:adjustRightInd w:val="0"/>
        <w:snapToGrid w:val="0"/>
        <w:spacing w:line="600" w:lineRule="exact"/>
        <w:ind w:firstLine="640" w:firstLineChars="20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通讯地址：</w:t>
      </w:r>
      <w:r>
        <w:rPr>
          <w:rFonts w:hint="default" w:ascii="Times New Roman" w:hAnsi="Times New Roman" w:eastAsia="仿宋" w:cs="Times New Roman"/>
          <w:color w:val="000000"/>
          <w:sz w:val="32"/>
          <w:szCs w:val="32"/>
          <w:highlight w:val="none"/>
        </w:rPr>
        <w:t>图木舒克市</w:t>
      </w:r>
      <w:r>
        <w:rPr>
          <w:rFonts w:hint="default" w:ascii="Times New Roman" w:hAnsi="Times New Roman" w:eastAsia="仿宋" w:cs="Times New Roman"/>
          <w:color w:val="000000"/>
          <w:sz w:val="32"/>
          <w:szCs w:val="32"/>
          <w:highlight w:val="none"/>
          <w:lang w:eastAsia="zh-CN"/>
        </w:rPr>
        <w:t>市民之家</w:t>
      </w:r>
      <w:r>
        <w:rPr>
          <w:rFonts w:hint="default" w:ascii="Times New Roman" w:hAnsi="Times New Roman" w:eastAsia="仿宋" w:cs="Times New Roman"/>
          <w:color w:val="000000"/>
          <w:sz w:val="32"/>
          <w:szCs w:val="32"/>
          <w:highlight w:val="none"/>
          <w:lang w:val="en-US" w:eastAsia="zh-CN"/>
        </w:rPr>
        <w:t>A36号窗口</w:t>
      </w:r>
    </w:p>
    <w:p w14:paraId="5ED795F3">
      <w:pPr>
        <w:adjustRightInd w:val="0"/>
        <w:snapToGrid w:val="0"/>
        <w:spacing w:line="60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邮编：</w:t>
      </w:r>
      <w:r>
        <w:rPr>
          <w:rFonts w:hint="default" w:ascii="Times New Roman" w:hAnsi="Times New Roman" w:eastAsia="仿宋" w:cs="Times New Roman"/>
          <w:color w:val="000000"/>
          <w:sz w:val="32"/>
          <w:szCs w:val="32"/>
          <w:highlight w:val="none"/>
        </w:rPr>
        <w:t>843900</w:t>
      </w:r>
    </w:p>
    <w:p w14:paraId="72942794">
      <w:pPr>
        <w:adjustRightInd w:val="0"/>
        <w:snapToGrid w:val="0"/>
        <w:spacing w:line="58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拟批准环境影响评价文件的建设项目</w:t>
      </w:r>
      <w:bookmarkStart w:id="0" w:name="_GoBack"/>
      <w:bookmarkEnd w:id="0"/>
    </w:p>
    <w:p w14:paraId="7A28B006">
      <w:pPr>
        <w:adjustRightInd w:val="0"/>
        <w:snapToGrid w:val="0"/>
        <w:spacing w:line="580" w:lineRule="exact"/>
        <w:ind w:firstLine="640" w:firstLineChars="200"/>
        <w:jc w:val="left"/>
        <w:rPr>
          <w:rFonts w:hint="default" w:ascii="Times New Roman" w:hAnsi="Times New Roman" w:eastAsia="仿宋" w:cs="Times New Roman"/>
          <w:sz w:val="32"/>
          <w:szCs w:val="32"/>
          <w:highlight w:val="none"/>
        </w:rPr>
      </w:pP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56"/>
        <w:gridCol w:w="651"/>
        <w:gridCol w:w="637"/>
        <w:gridCol w:w="2634"/>
        <w:gridCol w:w="7772"/>
        <w:gridCol w:w="478"/>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296" w:type="dxa"/>
            <w:tcBorders>
              <w:tl2br w:val="nil"/>
              <w:tr2bl w:val="nil"/>
            </w:tcBorders>
            <w:shd w:val="clear" w:color="auto" w:fill="auto"/>
            <w:tcMar>
              <w:top w:w="12" w:type="dxa"/>
              <w:left w:w="12" w:type="dxa"/>
              <w:right w:w="12" w:type="dxa"/>
            </w:tcMar>
            <w:vAlign w:val="center"/>
          </w:tcPr>
          <w:p w14:paraId="16A95B2D">
            <w:pPr>
              <w:widowControl/>
              <w:adjustRightInd w:val="0"/>
              <w:snapToGrid w:val="0"/>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widowControl/>
              <w:adjustRightInd w:val="0"/>
              <w:snapToGrid w:val="0"/>
              <w:jc w:val="center"/>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仿宋_GB2312" w:cs="Times New Roman"/>
                <w:color w:val="auto"/>
                <w:kern w:val="0"/>
                <w:sz w:val="22"/>
                <w:szCs w:val="22"/>
                <w:lang w:bidi="ar"/>
              </w:rPr>
              <w:t>项目</w:t>
            </w:r>
          </w:p>
          <w:p w14:paraId="47A21A21">
            <w:pPr>
              <w:widowControl/>
              <w:adjustRightInd w:val="0"/>
              <w:snapToGrid w:val="0"/>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名称</w:t>
            </w:r>
          </w:p>
        </w:tc>
        <w:tc>
          <w:tcPr>
            <w:tcW w:w="656" w:type="dxa"/>
            <w:tcBorders>
              <w:tl2br w:val="nil"/>
              <w:tr2bl w:val="nil"/>
            </w:tcBorders>
            <w:shd w:val="clear" w:color="auto" w:fill="auto"/>
            <w:tcMar>
              <w:top w:w="12" w:type="dxa"/>
              <w:left w:w="12" w:type="dxa"/>
              <w:right w:w="12" w:type="dxa"/>
            </w:tcMar>
            <w:vAlign w:val="center"/>
          </w:tcPr>
          <w:p w14:paraId="6DF4C539">
            <w:pPr>
              <w:widowControl/>
              <w:adjustRightInd w:val="0"/>
              <w:snapToGrid w:val="0"/>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建设地点</w:t>
            </w:r>
          </w:p>
        </w:tc>
        <w:tc>
          <w:tcPr>
            <w:tcW w:w="651" w:type="dxa"/>
            <w:tcBorders>
              <w:tl2br w:val="nil"/>
              <w:tr2bl w:val="nil"/>
            </w:tcBorders>
            <w:shd w:val="clear" w:color="auto" w:fill="auto"/>
            <w:tcMar>
              <w:top w:w="12" w:type="dxa"/>
              <w:left w:w="12" w:type="dxa"/>
              <w:right w:w="12" w:type="dxa"/>
            </w:tcMar>
            <w:vAlign w:val="center"/>
          </w:tcPr>
          <w:p w14:paraId="70AA479F">
            <w:pPr>
              <w:widowControl/>
              <w:adjustRightInd w:val="0"/>
              <w:snapToGrid w:val="0"/>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建设单位</w:t>
            </w:r>
          </w:p>
        </w:tc>
        <w:tc>
          <w:tcPr>
            <w:tcW w:w="637" w:type="dxa"/>
            <w:tcBorders>
              <w:tl2br w:val="nil"/>
              <w:tr2bl w:val="nil"/>
            </w:tcBorders>
            <w:shd w:val="clear" w:color="auto" w:fill="auto"/>
            <w:tcMar>
              <w:top w:w="12" w:type="dxa"/>
              <w:left w:w="12" w:type="dxa"/>
              <w:right w:w="12" w:type="dxa"/>
            </w:tcMar>
            <w:vAlign w:val="center"/>
          </w:tcPr>
          <w:p w14:paraId="60846A98">
            <w:pPr>
              <w:widowControl/>
              <w:adjustRightInd w:val="0"/>
              <w:snapToGrid w:val="0"/>
              <w:jc w:val="center"/>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仿宋_GB2312" w:cs="Times New Roman"/>
                <w:color w:val="auto"/>
                <w:kern w:val="0"/>
                <w:sz w:val="22"/>
                <w:szCs w:val="22"/>
                <w:lang w:bidi="ar"/>
              </w:rPr>
              <w:t>环境影响评价</w:t>
            </w:r>
          </w:p>
          <w:p w14:paraId="1EF1E77C">
            <w:pPr>
              <w:widowControl/>
              <w:adjustRightInd w:val="0"/>
              <w:snapToGrid w:val="0"/>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机构</w:t>
            </w:r>
          </w:p>
        </w:tc>
        <w:tc>
          <w:tcPr>
            <w:tcW w:w="2634" w:type="dxa"/>
            <w:tcBorders>
              <w:tl2br w:val="nil"/>
              <w:tr2bl w:val="nil"/>
            </w:tcBorders>
            <w:shd w:val="clear" w:color="auto" w:fill="auto"/>
            <w:tcMar>
              <w:top w:w="12" w:type="dxa"/>
              <w:left w:w="12" w:type="dxa"/>
              <w:right w:w="12" w:type="dxa"/>
            </w:tcMar>
            <w:vAlign w:val="center"/>
          </w:tcPr>
          <w:p w14:paraId="3B2AB61A">
            <w:pPr>
              <w:widowControl/>
              <w:adjustRightInd w:val="0"/>
              <w:snapToGrid w:val="0"/>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项目概述</w:t>
            </w:r>
          </w:p>
        </w:tc>
        <w:tc>
          <w:tcPr>
            <w:tcW w:w="7772" w:type="dxa"/>
            <w:tcBorders>
              <w:tl2br w:val="nil"/>
              <w:tr2bl w:val="nil"/>
            </w:tcBorders>
            <w:shd w:val="clear" w:color="auto" w:fill="auto"/>
            <w:tcMar>
              <w:top w:w="12" w:type="dxa"/>
              <w:left w:w="12" w:type="dxa"/>
              <w:right w:w="12" w:type="dxa"/>
            </w:tcMar>
            <w:vAlign w:val="center"/>
          </w:tcPr>
          <w:p w14:paraId="743FFE02">
            <w:pPr>
              <w:widowControl/>
              <w:adjustRightInd w:val="0"/>
              <w:snapToGrid w:val="0"/>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主要环境影响及预防或者减轻不良环境影响的对策和措施</w:t>
            </w:r>
          </w:p>
        </w:tc>
        <w:tc>
          <w:tcPr>
            <w:tcW w:w="478" w:type="dxa"/>
            <w:tcBorders>
              <w:tl2br w:val="nil"/>
              <w:tr2bl w:val="nil"/>
            </w:tcBorders>
            <w:shd w:val="clear" w:color="auto" w:fill="auto"/>
            <w:tcMar>
              <w:top w:w="12" w:type="dxa"/>
              <w:left w:w="12" w:type="dxa"/>
              <w:right w:w="12" w:type="dxa"/>
            </w:tcMar>
            <w:vAlign w:val="center"/>
          </w:tcPr>
          <w:p w14:paraId="235386FA">
            <w:pPr>
              <w:widowControl/>
              <w:adjustRightInd w:val="0"/>
              <w:snapToGrid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公众参与情况</w:t>
            </w:r>
          </w:p>
        </w:tc>
      </w:tr>
      <w:tr w14:paraId="261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4" w:hRule="atLeast"/>
        </w:trPr>
        <w:tc>
          <w:tcPr>
            <w:tcW w:w="296" w:type="dxa"/>
            <w:tcBorders>
              <w:tl2br w:val="nil"/>
              <w:tr2bl w:val="nil"/>
            </w:tcBorders>
            <w:shd w:val="clear" w:color="auto" w:fill="auto"/>
            <w:noWrap/>
            <w:tcMar>
              <w:top w:w="12" w:type="dxa"/>
              <w:left w:w="12" w:type="dxa"/>
              <w:right w:w="12" w:type="dxa"/>
            </w:tcMar>
            <w:vAlign w:val="center"/>
          </w:tcPr>
          <w:p w14:paraId="2A00C872">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val="0"/>
                <w:bCs/>
                <w:color w:val="auto"/>
                <w:sz w:val="24"/>
                <w:szCs w:val="24"/>
                <w:lang w:val="en-US" w:eastAsia="zh-CN"/>
              </w:rPr>
            </w:pPr>
            <w:r>
              <w:rPr>
                <w:rFonts w:hint="eastAsia" w:ascii="Times New Roman" w:hAnsi="Times New Roman" w:eastAsia="仿宋_GB2312" w:cs="Times New Roman"/>
                <w:b w:val="0"/>
                <w:bCs/>
                <w:color w:val="auto"/>
                <w:sz w:val="24"/>
                <w:szCs w:val="24"/>
                <w:lang w:val="en-US" w:eastAsia="zh-CN"/>
              </w:rPr>
              <w:t>1</w:t>
            </w:r>
          </w:p>
        </w:tc>
        <w:tc>
          <w:tcPr>
            <w:tcW w:w="833" w:type="dxa"/>
            <w:tcBorders>
              <w:tl2br w:val="nil"/>
              <w:tr2bl w:val="nil"/>
            </w:tcBorders>
            <w:shd w:val="clear" w:color="auto" w:fill="auto"/>
            <w:noWrap/>
            <w:tcMar>
              <w:top w:w="12" w:type="dxa"/>
              <w:left w:w="12" w:type="dxa"/>
              <w:right w:w="12" w:type="dxa"/>
            </w:tcMar>
            <w:vAlign w:val="center"/>
          </w:tcPr>
          <w:p w14:paraId="7189778B">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zh-CN" w:eastAsia="zh-CN"/>
              </w:rPr>
              <w:t>45团年产1.5万吨红枣生产线建设项目</w:t>
            </w:r>
          </w:p>
        </w:tc>
        <w:tc>
          <w:tcPr>
            <w:tcW w:w="656" w:type="dxa"/>
            <w:tcBorders>
              <w:tl2br w:val="nil"/>
              <w:tr2bl w:val="nil"/>
            </w:tcBorders>
            <w:shd w:val="clear" w:color="auto" w:fill="auto"/>
            <w:noWrap/>
            <w:tcMar>
              <w:top w:w="12" w:type="dxa"/>
              <w:left w:w="12" w:type="dxa"/>
              <w:right w:w="12" w:type="dxa"/>
            </w:tcMar>
            <w:vAlign w:val="center"/>
          </w:tcPr>
          <w:p w14:paraId="61DC68BE">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新疆生产建设兵团第三师图木舒克市45团产业园区</w:t>
            </w:r>
          </w:p>
        </w:tc>
        <w:tc>
          <w:tcPr>
            <w:tcW w:w="651" w:type="dxa"/>
            <w:tcBorders>
              <w:tl2br w:val="nil"/>
              <w:tr2bl w:val="nil"/>
            </w:tcBorders>
            <w:shd w:val="clear" w:color="auto" w:fill="auto"/>
            <w:noWrap/>
            <w:tcMar>
              <w:top w:w="12" w:type="dxa"/>
              <w:left w:w="12" w:type="dxa"/>
              <w:right w:w="12" w:type="dxa"/>
            </w:tcMar>
            <w:vAlign w:val="center"/>
          </w:tcPr>
          <w:p w14:paraId="02756A54">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val="0"/>
                <w:bCs/>
                <w:color w:val="auto"/>
                <w:sz w:val="24"/>
                <w:szCs w:val="24"/>
                <w:lang w:val="en-US" w:eastAsia="zh-CN"/>
              </w:rPr>
            </w:pPr>
            <w:r>
              <w:rPr>
                <w:rFonts w:hint="eastAsia" w:ascii="Times New Roman" w:hAnsi="Times New Roman" w:eastAsia="仿宋_GB2312" w:cs="Times New Roman"/>
                <w:b w:val="0"/>
                <w:bCs/>
                <w:color w:val="auto"/>
                <w:sz w:val="24"/>
                <w:szCs w:val="24"/>
                <w:lang w:val="en-US" w:eastAsia="zh-CN"/>
              </w:rPr>
              <w:t>图</w:t>
            </w:r>
            <w:r>
              <w:rPr>
                <w:rFonts w:hint="default" w:ascii="Times New Roman" w:hAnsi="Times New Roman" w:eastAsia="仿宋_GB2312" w:cs="Times New Roman"/>
                <w:b w:val="0"/>
                <w:bCs/>
                <w:color w:val="auto"/>
                <w:sz w:val="24"/>
                <w:szCs w:val="24"/>
                <w:lang w:val="en-US" w:eastAsia="zh-CN"/>
              </w:rPr>
              <w:t>木舒克军垦本草药业有限公司</w:t>
            </w:r>
          </w:p>
        </w:tc>
        <w:tc>
          <w:tcPr>
            <w:tcW w:w="637" w:type="dxa"/>
            <w:tcBorders>
              <w:tl2br w:val="nil"/>
              <w:tr2bl w:val="nil"/>
            </w:tcBorders>
            <w:shd w:val="clear" w:color="auto" w:fill="auto"/>
            <w:noWrap/>
            <w:tcMar>
              <w:top w:w="12" w:type="dxa"/>
              <w:left w:w="12" w:type="dxa"/>
              <w:right w:w="12" w:type="dxa"/>
            </w:tcMar>
            <w:vAlign w:val="center"/>
          </w:tcPr>
          <w:p w14:paraId="79BB0ADC">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新疆碧蓝环保科技有限公司</w:t>
            </w:r>
          </w:p>
        </w:tc>
        <w:tc>
          <w:tcPr>
            <w:tcW w:w="2634" w:type="dxa"/>
            <w:tcBorders>
              <w:tl2br w:val="nil"/>
              <w:tr2bl w:val="nil"/>
            </w:tcBorders>
            <w:shd w:val="clear" w:color="auto" w:fill="auto"/>
            <w:noWrap/>
            <w:tcMar>
              <w:top w:w="12" w:type="dxa"/>
              <w:left w:w="12" w:type="dxa"/>
              <w:right w:w="12" w:type="dxa"/>
            </w:tcMar>
            <w:vAlign w:val="center"/>
          </w:tcPr>
          <w:p w14:paraId="71BCCC41">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建设年产1.5万吨红枣初加工生产线2条，配备分级、清洗、烘干、冷却、色选、包装设备，配套叉车及必要的电力设施。</w:t>
            </w:r>
          </w:p>
          <w:p w14:paraId="1467068B">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项目总投资721万元，其中环保投资20万元，占总投资2.77%。</w:t>
            </w:r>
          </w:p>
          <w:p w14:paraId="7B5BBF88">
            <w:pPr>
              <w:keepNext w:val="0"/>
              <w:keepLines w:val="0"/>
              <w:pageBreakBefore w:val="0"/>
              <w:widowControl w:val="0"/>
              <w:kinsoku/>
              <w:wordWrap/>
              <w:overflowPunct/>
              <w:topLinePunct w:val="0"/>
              <w:autoSpaceDE/>
              <w:autoSpaceDN/>
              <w:bidi w:val="0"/>
              <w:spacing w:line="400" w:lineRule="exact"/>
              <w:ind w:firstLine="480" w:firstLineChars="200"/>
              <w:jc w:val="center"/>
              <w:textAlignment w:val="auto"/>
              <w:rPr>
                <w:rFonts w:hint="default" w:ascii="Times New Roman" w:hAnsi="Times New Roman" w:eastAsia="仿宋_GB2312" w:cs="Times New Roman"/>
                <w:b w:val="0"/>
                <w:bCs/>
                <w:color w:val="auto"/>
                <w:sz w:val="24"/>
                <w:szCs w:val="24"/>
                <w:lang w:val="en-US" w:eastAsia="zh-CN"/>
              </w:rPr>
            </w:pPr>
          </w:p>
        </w:tc>
        <w:tc>
          <w:tcPr>
            <w:tcW w:w="7772" w:type="dxa"/>
            <w:tcBorders>
              <w:tl2br w:val="nil"/>
              <w:tr2bl w:val="nil"/>
            </w:tcBorders>
            <w:shd w:val="clear" w:color="auto" w:fill="auto"/>
            <w:noWrap/>
            <w:tcMar>
              <w:top w:w="12" w:type="dxa"/>
              <w:left w:w="12" w:type="dxa"/>
              <w:right w:w="12" w:type="dxa"/>
            </w:tcMar>
            <w:vAlign w:val="center"/>
          </w:tcPr>
          <w:p w14:paraId="66ACC29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color w:val="auto"/>
                <w:sz w:val="24"/>
                <w:szCs w:val="24"/>
                <w:lang w:eastAsia="zh-CN"/>
              </w:rPr>
              <w:t>废</w:t>
            </w:r>
            <w:r>
              <w:rPr>
                <w:rFonts w:hint="default" w:ascii="Times New Roman" w:hAnsi="Times New Roman" w:eastAsia="仿宋_GB2312" w:cs="Times New Roman"/>
                <w:b/>
                <w:color w:val="auto"/>
                <w:sz w:val="24"/>
                <w:szCs w:val="24"/>
              </w:rPr>
              <w:t>气：</w:t>
            </w:r>
            <w:r>
              <w:rPr>
                <w:rFonts w:hint="default" w:ascii="Times New Roman" w:hAnsi="Times New Roman" w:eastAsia="仿宋_GB2312" w:cs="Times New Roman"/>
                <w:b w:val="0"/>
                <w:bCs/>
                <w:color w:val="auto"/>
                <w:sz w:val="24"/>
                <w:szCs w:val="24"/>
                <w:lang w:val="en-US" w:eastAsia="zh-CN"/>
              </w:rPr>
              <w:t>项目天然气燃烧烟气经低氮燃烧后经10m高烟囱排放后，颗粒物、二氧化硫、氮氧化物满足《锅炉大气污染物排放标准》（GB13271-2014）表2新建锅炉大气污染物排放浓度限值。</w:t>
            </w:r>
          </w:p>
          <w:p w14:paraId="64F46174">
            <w:pPr>
              <w:pStyle w:val="18"/>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jc w:val="both"/>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color w:val="auto"/>
                <w:sz w:val="24"/>
                <w:szCs w:val="24"/>
                <w:lang w:val="en-US" w:eastAsia="zh-CN"/>
              </w:rPr>
              <w:t>废水</w:t>
            </w:r>
            <w:r>
              <w:rPr>
                <w:rFonts w:hint="default" w:ascii="Times New Roman" w:hAnsi="Times New Roman" w:eastAsia="仿宋_GB2312" w:cs="Times New Roman"/>
                <w:b/>
                <w:color w:val="auto"/>
                <w:sz w:val="24"/>
                <w:szCs w:val="24"/>
              </w:rPr>
              <w:t>：</w:t>
            </w:r>
            <w:r>
              <w:rPr>
                <w:rFonts w:hint="default" w:ascii="Times New Roman" w:hAnsi="Times New Roman" w:eastAsia="仿宋_GB2312" w:cs="Times New Roman"/>
                <w:b w:val="0"/>
                <w:bCs/>
                <w:color w:val="auto"/>
                <w:sz w:val="24"/>
                <w:szCs w:val="24"/>
                <w:lang w:val="en-US" w:eastAsia="zh-CN"/>
              </w:rPr>
              <w:t>生活污水进入市政污水管网，最终排入45团污水处理厂。项目生产过程清洗废水进入沉淀池沉淀后，最终用于项目区绿化和降尘，经沉淀池沉淀处理后废水水质满足《城市污水再生利用绿地灌溉水质》（GB/T 25499-2010）限值。</w:t>
            </w:r>
          </w:p>
          <w:p w14:paraId="1EAE25B8">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both"/>
              <w:textAlignment w:val="auto"/>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color w:val="auto"/>
                <w:sz w:val="24"/>
                <w:szCs w:val="24"/>
              </w:rPr>
              <w:t>噪声：</w:t>
            </w:r>
            <w:r>
              <w:rPr>
                <w:rFonts w:hint="default" w:ascii="Times New Roman" w:hAnsi="Times New Roman" w:eastAsia="仿宋_GB2312" w:cs="Times New Roman"/>
                <w:b w:val="0"/>
                <w:bCs/>
                <w:color w:val="auto"/>
                <w:kern w:val="2"/>
                <w:sz w:val="24"/>
                <w:szCs w:val="24"/>
                <w:lang w:val="en-US" w:eastAsia="zh-CN" w:bidi="ar-SA"/>
              </w:rPr>
              <w:t>选用低噪声设备，并进行防噪隔声措施；强噪声设备在设备安装时，加装减振垫等装置，以阻挡噪声传播，厂区建筑应合理布局，将高噪声安装在室内，以减少对厂界噪声的影响，同时在运行过程中加强设备检修工作；长期在厂区内工作的工人可以戴耳塞、耳罩等护耳器。</w:t>
            </w:r>
          </w:p>
          <w:p w14:paraId="5067353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eastAsia="仿宋_GB2312" w:cs="Times New Roman"/>
                <w:b/>
                <w:color w:val="auto"/>
                <w:sz w:val="24"/>
                <w:szCs w:val="24"/>
                <w:lang w:val="en-US" w:eastAsia="zh-CN"/>
              </w:rPr>
            </w:pPr>
            <w:r>
              <w:rPr>
                <w:rFonts w:hint="default" w:ascii="Times New Roman" w:hAnsi="Times New Roman" w:eastAsia="仿宋_GB2312" w:cs="Times New Roman"/>
                <w:b/>
                <w:color w:val="auto"/>
                <w:sz w:val="24"/>
                <w:szCs w:val="24"/>
              </w:rPr>
              <w:t>固废：</w:t>
            </w:r>
            <w:r>
              <w:rPr>
                <w:rFonts w:hint="default" w:ascii="Times New Roman" w:hAnsi="Times New Roman" w:eastAsia="仿宋_GB2312" w:cs="Times New Roman"/>
                <w:b w:val="0"/>
                <w:bCs/>
                <w:color w:val="auto"/>
                <w:sz w:val="24"/>
                <w:szCs w:val="24"/>
                <w:lang w:val="en-US" w:eastAsia="zh-CN"/>
              </w:rPr>
              <w:t>项目设置一般固废暂存间1 间，占地面积为10m</w:t>
            </w:r>
            <w:r>
              <w:rPr>
                <w:rFonts w:hint="default" w:ascii="Times New Roman" w:hAnsi="Times New Roman" w:eastAsia="仿宋_GB2312" w:cs="Times New Roman"/>
                <w:b w:val="0"/>
                <w:bCs/>
                <w:color w:val="auto"/>
                <w:sz w:val="24"/>
                <w:szCs w:val="24"/>
                <w:vertAlign w:val="superscript"/>
                <w:lang w:val="en-US" w:eastAsia="zh-CN"/>
              </w:rPr>
              <w:t>2</w:t>
            </w:r>
            <w:r>
              <w:rPr>
                <w:rFonts w:hint="default" w:ascii="Times New Roman" w:hAnsi="Times New Roman" w:eastAsia="仿宋_GB2312" w:cs="Times New Roman"/>
                <w:b w:val="0"/>
                <w:bCs/>
                <w:color w:val="auto"/>
                <w:sz w:val="24"/>
                <w:szCs w:val="24"/>
                <w:lang w:val="en-US" w:eastAsia="zh-CN"/>
              </w:rPr>
              <w:t>，位于生产车间外面西侧，采取一般防渗混凝土地面，满足防渗要求。项目运营期产生的生活垃圾由环卫部门统一清运至垃圾填埋场，废包装材料收集后外售至废品回收单位。</w:t>
            </w:r>
          </w:p>
        </w:tc>
        <w:tc>
          <w:tcPr>
            <w:tcW w:w="478" w:type="dxa"/>
            <w:tcBorders>
              <w:tl2br w:val="nil"/>
              <w:tr2bl w:val="nil"/>
            </w:tcBorders>
            <w:shd w:val="clear" w:color="auto" w:fill="auto"/>
            <w:noWrap/>
            <w:tcMar>
              <w:top w:w="12" w:type="dxa"/>
              <w:left w:w="12" w:type="dxa"/>
              <w:right w:w="12" w:type="dxa"/>
            </w:tcMar>
            <w:vAlign w:val="center"/>
          </w:tcPr>
          <w:p w14:paraId="0202EAE4">
            <w:pPr>
              <w:widowControl/>
              <w:adjustRightInd w:val="0"/>
              <w:snapToGrid w:val="0"/>
              <w:jc w:val="center"/>
              <w:rPr>
                <w:rFonts w:hint="default" w:ascii="Times New Roman" w:hAnsi="Times New Roman" w:eastAsia="仿宋" w:cs="Times New Roman"/>
                <w:color w:val="000000"/>
                <w:sz w:val="22"/>
                <w:szCs w:val="22"/>
              </w:rPr>
            </w:pPr>
          </w:p>
        </w:tc>
      </w:tr>
      <w:tr w14:paraId="4E42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1" w:hRule="atLeast"/>
        </w:trPr>
        <w:tc>
          <w:tcPr>
            <w:tcW w:w="296" w:type="dxa"/>
            <w:tcBorders>
              <w:tl2br w:val="nil"/>
              <w:tr2bl w:val="nil"/>
            </w:tcBorders>
            <w:shd w:val="clear" w:color="auto" w:fill="auto"/>
            <w:noWrap/>
            <w:tcMar>
              <w:top w:w="12" w:type="dxa"/>
              <w:left w:w="12" w:type="dxa"/>
              <w:right w:w="12" w:type="dxa"/>
            </w:tcMar>
            <w:vAlign w:val="center"/>
          </w:tcPr>
          <w:p w14:paraId="4C437AFA">
            <w:pPr>
              <w:widowControl/>
              <w:adjustRightInd w:val="0"/>
              <w:snapToGrid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w:t>
            </w:r>
          </w:p>
        </w:tc>
        <w:tc>
          <w:tcPr>
            <w:tcW w:w="833" w:type="dxa"/>
            <w:tcBorders>
              <w:tl2br w:val="nil"/>
              <w:tr2bl w:val="nil"/>
            </w:tcBorders>
            <w:shd w:val="clear" w:color="auto" w:fill="auto"/>
            <w:noWrap/>
            <w:tcMar>
              <w:top w:w="12" w:type="dxa"/>
              <w:left w:w="12" w:type="dxa"/>
              <w:right w:w="12" w:type="dxa"/>
            </w:tcMar>
            <w:vAlign w:val="center"/>
          </w:tcPr>
          <w:p w14:paraId="5A99D12C">
            <w:pPr>
              <w:widowControl/>
              <w:adjustRightInd w:val="0"/>
              <w:snapToGrid w:val="0"/>
              <w:jc w:val="center"/>
              <w:textAlignment w:val="center"/>
              <w:rPr>
                <w:rFonts w:hint="default" w:ascii="Times New Roman" w:hAnsi="Times New Roman" w:eastAsia="仿宋_GB2312" w:cs="Times New Roman"/>
                <w:color w:val="auto"/>
                <w:sz w:val="24"/>
                <w:szCs w:val="24"/>
                <w:lang w:val="zh-CN" w:eastAsia="zh-CN"/>
              </w:rPr>
            </w:pPr>
            <w:r>
              <w:rPr>
                <w:rFonts w:hint="default" w:ascii="Times New Roman" w:hAnsi="Times New Roman" w:eastAsia="仿宋_GB2312" w:cs="Times New Roman"/>
                <w:color w:val="auto"/>
                <w:sz w:val="24"/>
                <w:szCs w:val="24"/>
                <w:lang w:val="en-US" w:eastAsia="zh-CN"/>
              </w:rPr>
              <w:t>新疆兵团中小河流治理项目第三师夏可河治理工程</w:t>
            </w:r>
          </w:p>
        </w:tc>
        <w:tc>
          <w:tcPr>
            <w:tcW w:w="656" w:type="dxa"/>
            <w:tcBorders>
              <w:tl2br w:val="nil"/>
              <w:tr2bl w:val="nil"/>
            </w:tcBorders>
            <w:shd w:val="clear" w:color="auto" w:fill="auto"/>
            <w:noWrap/>
            <w:tcMar>
              <w:top w:w="12" w:type="dxa"/>
              <w:left w:w="12" w:type="dxa"/>
              <w:right w:w="12" w:type="dxa"/>
            </w:tcMar>
            <w:vAlign w:val="center"/>
          </w:tcPr>
          <w:p w14:paraId="779BA2D3">
            <w:pPr>
              <w:widowControl/>
              <w:adjustRightInd w:val="0"/>
              <w:snapToGrid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新疆生产建设兵团第三师图木舒克市44团</w:t>
            </w:r>
          </w:p>
        </w:tc>
        <w:tc>
          <w:tcPr>
            <w:tcW w:w="651" w:type="dxa"/>
            <w:tcBorders>
              <w:tl2br w:val="nil"/>
              <w:tr2bl w:val="nil"/>
            </w:tcBorders>
            <w:shd w:val="clear" w:color="auto" w:fill="auto"/>
            <w:noWrap/>
            <w:tcMar>
              <w:top w:w="12" w:type="dxa"/>
              <w:left w:w="12" w:type="dxa"/>
              <w:right w:w="12" w:type="dxa"/>
            </w:tcMar>
            <w:vAlign w:val="center"/>
          </w:tcPr>
          <w:p w14:paraId="04AB2B3C">
            <w:pPr>
              <w:widowControl/>
              <w:adjustRightInd w:val="0"/>
              <w:snapToGrid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新疆生产建设兵团第三师图木舒克市水利工程管理服务中心</w:t>
            </w:r>
          </w:p>
        </w:tc>
        <w:tc>
          <w:tcPr>
            <w:tcW w:w="637" w:type="dxa"/>
            <w:tcBorders>
              <w:tl2br w:val="nil"/>
              <w:tr2bl w:val="nil"/>
            </w:tcBorders>
            <w:shd w:val="clear" w:color="auto" w:fill="auto"/>
            <w:noWrap/>
            <w:tcMar>
              <w:top w:w="12" w:type="dxa"/>
              <w:left w:w="12" w:type="dxa"/>
              <w:right w:w="12" w:type="dxa"/>
            </w:tcMar>
            <w:vAlign w:val="center"/>
          </w:tcPr>
          <w:p w14:paraId="0561F7CC">
            <w:pPr>
              <w:widowControl/>
              <w:adjustRightInd w:val="0"/>
              <w:snapToGrid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新疆荣祥环保科技咨询有限公司</w:t>
            </w:r>
          </w:p>
        </w:tc>
        <w:tc>
          <w:tcPr>
            <w:tcW w:w="2634" w:type="dxa"/>
            <w:tcBorders>
              <w:tl2br w:val="nil"/>
              <w:tr2bl w:val="nil"/>
            </w:tcBorders>
            <w:shd w:val="clear" w:color="auto" w:fill="auto"/>
            <w:noWrap/>
            <w:tcMar>
              <w:top w:w="12" w:type="dxa"/>
              <w:left w:w="12" w:type="dxa"/>
              <w:right w:w="12" w:type="dxa"/>
            </w:tcMar>
            <w:vAlign w:val="center"/>
          </w:tcPr>
          <w:p w14:paraId="12A0A22E">
            <w:pPr>
              <w:widowControl/>
              <w:adjustRightInd w:val="0"/>
              <w:snapToGrid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本工程治理河长13.99km，主要建设内容为新建护岸（坡式护岸型式）、新建巡堤道路及疏浚工程。夏可河泄洪闸控制泄流量200m</w:t>
            </w:r>
            <w:r>
              <w:rPr>
                <w:rFonts w:hint="default" w:ascii="Times New Roman" w:hAnsi="Times New Roman" w:eastAsia="仿宋_GB2312" w:cs="Times New Roman"/>
                <w:color w:val="auto"/>
                <w:sz w:val="24"/>
                <w:szCs w:val="24"/>
                <w:vertAlign w:val="superscript"/>
                <w:lang w:val="en-US" w:eastAsia="zh-CN"/>
              </w:rPr>
              <w:t>3</w:t>
            </w:r>
            <w:r>
              <w:rPr>
                <w:rFonts w:hint="default" w:ascii="Times New Roman" w:hAnsi="Times New Roman" w:eastAsia="仿宋_GB2312" w:cs="Times New Roman"/>
                <w:color w:val="auto"/>
                <w:sz w:val="24"/>
                <w:szCs w:val="24"/>
                <w:lang w:val="en-US" w:eastAsia="zh-CN"/>
              </w:rPr>
              <w:t>/s。对河道桩号0+800-6+700和10+950-14+000河段疏浚，治理河长8.95km。</w:t>
            </w:r>
          </w:p>
          <w:p w14:paraId="45A4EDFC">
            <w:pPr>
              <w:widowControl/>
              <w:adjustRightInd w:val="0"/>
              <w:snapToGrid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项目总投资5723.51万元，其中环保投资351万元，占总投资的6.13%。</w:t>
            </w:r>
          </w:p>
        </w:tc>
        <w:tc>
          <w:tcPr>
            <w:tcW w:w="7772" w:type="dxa"/>
            <w:tcBorders>
              <w:tl2br w:val="nil"/>
              <w:tr2bl w:val="nil"/>
            </w:tcBorders>
            <w:shd w:val="clear" w:color="auto" w:fill="auto"/>
            <w:noWrap/>
            <w:tcMar>
              <w:top w:w="12" w:type="dxa"/>
              <w:left w:w="12" w:type="dxa"/>
              <w:right w:w="12" w:type="dxa"/>
            </w:tcMar>
            <w:vAlign w:val="center"/>
          </w:tcPr>
          <w:p w14:paraId="7F3FA027">
            <w:pPr>
              <w:keepNext w:val="0"/>
              <w:keepLines w:val="0"/>
              <w:pageBreakBefore w:val="0"/>
              <w:kinsoku/>
              <w:wordWrap/>
              <w:overflowPunct/>
              <w:topLinePunct w:val="0"/>
              <w:autoSpaceDE/>
              <w:autoSpaceDN/>
              <w:bidi w:val="0"/>
              <w:spacing w:line="320" w:lineRule="exact"/>
              <w:ind w:firstLine="482" w:firstLineChars="200"/>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color w:val="auto"/>
                <w:sz w:val="24"/>
                <w:szCs w:val="24"/>
                <w:lang w:eastAsia="zh-CN"/>
              </w:rPr>
              <w:t>废</w:t>
            </w:r>
            <w:r>
              <w:rPr>
                <w:rFonts w:hint="default" w:ascii="Times New Roman" w:hAnsi="Times New Roman" w:eastAsia="仿宋_GB2312" w:cs="Times New Roman"/>
                <w:b/>
                <w:color w:val="auto"/>
                <w:sz w:val="24"/>
                <w:szCs w:val="24"/>
              </w:rPr>
              <w:t>气：</w:t>
            </w:r>
            <w:r>
              <w:rPr>
                <w:rFonts w:hint="default" w:ascii="Times New Roman" w:hAnsi="Times New Roman" w:eastAsia="仿宋_GB2312" w:cs="Times New Roman"/>
                <w:b w:val="0"/>
                <w:bCs/>
                <w:color w:val="auto"/>
                <w:sz w:val="24"/>
                <w:szCs w:val="24"/>
                <w:lang w:val="en-US" w:eastAsia="zh-CN"/>
              </w:rPr>
              <w:t>施工期施工扬尘采取洒水抑尘、加强车辆管理等措施有效降低扬尘污染；文明施工、科学施工</w:t>
            </w:r>
            <w:r>
              <w:rPr>
                <w:rFonts w:hint="eastAsia" w:ascii="Times New Roman" w:hAnsi="Times New Roman" w:eastAsia="仿宋_GB2312" w:cs="Times New Roman"/>
                <w:b w:val="0"/>
                <w:bCs/>
                <w:color w:val="auto"/>
                <w:sz w:val="24"/>
                <w:szCs w:val="24"/>
                <w:lang w:val="en-US" w:eastAsia="zh-CN"/>
              </w:rPr>
              <w:t>，</w:t>
            </w:r>
            <w:r>
              <w:rPr>
                <w:rFonts w:hint="default" w:ascii="Times New Roman" w:hAnsi="Times New Roman" w:eastAsia="仿宋_GB2312" w:cs="Times New Roman"/>
                <w:b w:val="0"/>
                <w:bCs/>
                <w:color w:val="auto"/>
                <w:sz w:val="24"/>
                <w:szCs w:val="24"/>
                <w:lang w:val="en-US" w:eastAsia="zh-CN"/>
              </w:rPr>
              <w:t>减少施工期的大气污染，做好施工场地管理工作；采取分段挖掘、分段回填等措施，缩短对周围环境的影响时间和降低影响程度；</w:t>
            </w:r>
            <w:r>
              <w:rPr>
                <w:rFonts w:hint="default" w:ascii="Times New Roman" w:hAnsi="Times New Roman" w:eastAsia="仿宋_GB2312" w:cs="Times New Roman"/>
                <w:color w:val="000000"/>
                <w:sz w:val="24"/>
                <w:szCs w:val="24"/>
                <w:lang w:val="en-US" w:eastAsia="zh-CN"/>
              </w:rPr>
              <w:t>运输</w:t>
            </w:r>
            <w:r>
              <w:rPr>
                <w:rFonts w:hint="default" w:ascii="Times New Roman" w:hAnsi="Times New Roman" w:eastAsia="仿宋_GB2312" w:cs="Times New Roman"/>
                <w:color w:val="000000"/>
                <w:sz w:val="24"/>
                <w:szCs w:val="24"/>
                <w:lang w:val="en-US" w:eastAsia="zh-CN"/>
              </w:rPr>
              <w:t>清淤</w:t>
            </w:r>
            <w:r>
              <w:rPr>
                <w:rFonts w:hint="eastAsia" w:ascii="Times New Roman" w:hAnsi="Times New Roman" w:eastAsia="仿宋_GB2312" w:cs="Times New Roman"/>
                <w:color w:val="000000"/>
                <w:sz w:val="24"/>
                <w:szCs w:val="24"/>
                <w:lang w:val="en-US" w:eastAsia="zh-CN"/>
              </w:rPr>
              <w:t>产生的</w:t>
            </w:r>
            <w:r>
              <w:rPr>
                <w:rFonts w:hint="default" w:ascii="Times New Roman" w:hAnsi="Times New Roman" w:eastAsia="仿宋_GB2312" w:cs="Times New Roman"/>
                <w:color w:val="000000"/>
                <w:sz w:val="24"/>
                <w:szCs w:val="24"/>
                <w:lang w:val="en-US" w:eastAsia="zh-CN"/>
              </w:rPr>
              <w:t>泥沙</w:t>
            </w:r>
            <w:r>
              <w:rPr>
                <w:rFonts w:hint="eastAsia" w:ascii="Times New Roman" w:hAnsi="Times New Roman" w:eastAsia="仿宋_GB2312" w:cs="Times New Roman"/>
                <w:color w:val="000000"/>
                <w:sz w:val="24"/>
                <w:szCs w:val="24"/>
                <w:lang w:val="en-US" w:eastAsia="zh-CN"/>
              </w:rPr>
              <w:t>过程中</w:t>
            </w:r>
            <w:r>
              <w:rPr>
                <w:rFonts w:hint="default" w:ascii="Times New Roman" w:hAnsi="Times New Roman" w:eastAsia="仿宋_GB2312" w:cs="Times New Roman"/>
                <w:color w:val="000000"/>
                <w:sz w:val="24"/>
                <w:szCs w:val="24"/>
                <w:lang w:val="en-US" w:eastAsia="zh-CN"/>
              </w:rPr>
              <w:t>采用密闭遮盖运输，严禁随意撒落；</w:t>
            </w:r>
            <w:r>
              <w:rPr>
                <w:rFonts w:hint="default" w:ascii="Times New Roman" w:hAnsi="Times New Roman" w:eastAsia="仿宋_GB2312" w:cs="Times New Roman"/>
                <w:color w:val="000000"/>
                <w:sz w:val="24"/>
                <w:szCs w:val="24"/>
              </w:rPr>
              <w:t>施工单位应选用符合国家有关标准的施工机械和运输工具，或选用工艺先进、技术含量高的作业机械，燃料选用低硫燃料</w:t>
            </w:r>
            <w:r>
              <w:rPr>
                <w:rFonts w:hint="default" w:ascii="Times New Roman" w:hAnsi="Times New Roman" w:eastAsia="仿宋_GB2312" w:cs="Times New Roman"/>
                <w:b w:val="0"/>
                <w:bCs/>
                <w:color w:val="auto"/>
                <w:kern w:val="2"/>
                <w:sz w:val="24"/>
                <w:szCs w:val="24"/>
                <w:lang w:val="en-US" w:eastAsia="zh-CN" w:bidi="ar-SA"/>
              </w:rPr>
              <w:t xml:space="preserve">。    </w:t>
            </w:r>
          </w:p>
          <w:p w14:paraId="63F8EDF4">
            <w:pPr>
              <w:pStyle w:val="18"/>
              <w:keepNext w:val="0"/>
              <w:keepLines w:val="0"/>
              <w:pageBreakBefore w:val="0"/>
              <w:widowControl w:val="0"/>
              <w:kinsoku/>
              <w:wordWrap/>
              <w:overflowPunct/>
              <w:topLinePunct w:val="0"/>
              <w:autoSpaceDE/>
              <w:autoSpaceDN/>
              <w:bidi w:val="0"/>
              <w:adjustRightInd w:val="0"/>
              <w:snapToGrid w:val="0"/>
              <w:spacing w:after="0" w:line="320" w:lineRule="exact"/>
              <w:ind w:firstLine="482" w:firstLineChars="200"/>
              <w:jc w:val="both"/>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color w:val="auto"/>
                <w:sz w:val="24"/>
                <w:szCs w:val="24"/>
                <w:lang w:val="en-US" w:eastAsia="zh-CN"/>
              </w:rPr>
              <w:t>废水</w:t>
            </w:r>
            <w:r>
              <w:rPr>
                <w:rFonts w:hint="default" w:ascii="Times New Roman" w:hAnsi="Times New Roman" w:eastAsia="仿宋_GB2312" w:cs="Times New Roman"/>
                <w:b/>
                <w:color w:val="auto"/>
                <w:sz w:val="24"/>
                <w:szCs w:val="24"/>
              </w:rPr>
              <w:t>：</w:t>
            </w:r>
            <w:r>
              <w:rPr>
                <w:rFonts w:hint="default" w:ascii="Times New Roman" w:hAnsi="Times New Roman" w:eastAsia="仿宋_GB2312" w:cs="Times New Roman"/>
                <w:b w:val="0"/>
                <w:bCs/>
                <w:color w:val="auto"/>
                <w:sz w:val="24"/>
                <w:szCs w:val="24"/>
                <w:lang w:val="en-US" w:eastAsia="zh-CN"/>
              </w:rPr>
              <w:t>施工期废水经临时沉淀池处理后</w:t>
            </w:r>
            <w:r>
              <w:rPr>
                <w:rFonts w:hint="default" w:ascii="Times New Roman" w:hAnsi="Times New Roman" w:eastAsia="仿宋_GB2312" w:cs="Times New Roman"/>
                <w:color w:val="000000"/>
                <w:sz w:val="24"/>
                <w:szCs w:val="24"/>
                <w:lang w:val="en-US" w:eastAsia="zh-CN"/>
              </w:rPr>
              <w:t>用于项目区洒水抑尘</w:t>
            </w:r>
            <w:r>
              <w:rPr>
                <w:rFonts w:hint="default" w:ascii="Times New Roman" w:hAnsi="Times New Roman" w:eastAsia="仿宋_GB2312" w:cs="Times New Roman"/>
                <w:b w:val="0"/>
                <w:bCs/>
                <w:color w:val="auto"/>
                <w:sz w:val="24"/>
                <w:szCs w:val="24"/>
                <w:lang w:val="en-US" w:eastAsia="zh-CN"/>
              </w:rPr>
              <w:t>。项目生活污水</w:t>
            </w:r>
            <w:r>
              <w:rPr>
                <w:rFonts w:hint="eastAsia" w:ascii="Times New Roman" w:hAnsi="Times New Roman" w:eastAsia="仿宋_GB2312" w:cs="Times New Roman"/>
                <w:b w:val="0"/>
                <w:bCs/>
                <w:color w:val="auto"/>
                <w:sz w:val="24"/>
                <w:szCs w:val="24"/>
                <w:lang w:val="en-US" w:eastAsia="zh-CN"/>
              </w:rPr>
              <w:t>由吸污车</w:t>
            </w:r>
            <w:r>
              <w:rPr>
                <w:rFonts w:hint="eastAsia" w:ascii="Times New Roman" w:hAnsi="Times New Roman" w:eastAsia="仿宋_GB2312" w:cs="Times New Roman"/>
                <w:b w:val="0"/>
                <w:bCs/>
                <w:color w:val="auto"/>
                <w:sz w:val="24"/>
                <w:szCs w:val="24"/>
                <w:lang w:val="en-US" w:eastAsia="zh-CN"/>
              </w:rPr>
              <w:t>定期拉运至污水处理厂处理</w:t>
            </w:r>
            <w:r>
              <w:rPr>
                <w:rFonts w:hint="default" w:ascii="Times New Roman" w:hAnsi="Times New Roman" w:eastAsia="仿宋_GB2312" w:cs="Times New Roman"/>
                <w:b w:val="0"/>
                <w:bCs/>
                <w:color w:val="auto"/>
                <w:sz w:val="24"/>
                <w:szCs w:val="24"/>
                <w:lang w:val="en-US" w:eastAsia="zh-CN"/>
              </w:rPr>
              <w:t>。</w:t>
            </w:r>
          </w:p>
          <w:p w14:paraId="6A949DB6">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jc w:val="both"/>
              <w:textAlignment w:val="auto"/>
              <w:rPr>
                <w:rFonts w:hint="default" w:ascii="Times New Roman" w:hAnsi="Times New Roman" w:eastAsia="仿宋_GB2312" w:cs="Times New Roman"/>
                <w:b w:val="0"/>
                <w:bCs/>
                <w:color w:val="auto"/>
                <w:sz w:val="24"/>
                <w:szCs w:val="24"/>
                <w:lang w:eastAsia="zh-CN"/>
              </w:rPr>
            </w:pPr>
            <w:r>
              <w:rPr>
                <w:rFonts w:hint="default" w:ascii="Times New Roman" w:hAnsi="Times New Roman" w:eastAsia="仿宋_GB2312" w:cs="Times New Roman"/>
                <w:b/>
                <w:color w:val="auto"/>
                <w:sz w:val="24"/>
                <w:szCs w:val="24"/>
              </w:rPr>
              <w:t>噪声：</w:t>
            </w:r>
            <w:r>
              <w:rPr>
                <w:rFonts w:hint="default" w:ascii="Times New Roman" w:hAnsi="Times New Roman" w:eastAsia="仿宋_GB2312" w:cs="Times New Roman"/>
                <w:b w:val="0"/>
                <w:bCs/>
                <w:color w:val="auto"/>
                <w:kern w:val="2"/>
                <w:sz w:val="24"/>
                <w:szCs w:val="24"/>
                <w:lang w:val="en-US" w:eastAsia="zh-CN" w:bidi="ar-SA"/>
              </w:rPr>
              <w:t>施工期选用低噪声施工机械和设备，加强施工机械的维修、管理，合理安排高噪声施工作业的时间，严格控制强噪声施工机械的作业时间，施工期场界噪声执行《建筑施工场界环境噪声排放标准》（GB12523-2011）标准限值要求。</w:t>
            </w:r>
          </w:p>
          <w:p w14:paraId="01FF20F7">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color w:val="auto"/>
                <w:sz w:val="24"/>
                <w:szCs w:val="24"/>
              </w:rPr>
              <w:t>固废：</w:t>
            </w:r>
            <w:r>
              <w:rPr>
                <w:rFonts w:hint="default" w:ascii="Times New Roman" w:hAnsi="Times New Roman" w:eastAsia="仿宋_GB2312" w:cs="Times New Roman"/>
                <w:color w:val="000000"/>
                <w:sz w:val="24"/>
                <w:szCs w:val="24"/>
                <w:lang w:val="en-US" w:eastAsia="zh-CN"/>
              </w:rPr>
              <w:t>项目清淤过程产生的泥沙临时就近堆放在河道方便运输一侧，堆放至永久用地范围内，由运输车辆拉运至弃渣场填埋处置</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b w:val="0"/>
                <w:bCs/>
                <w:color w:val="auto"/>
                <w:sz w:val="24"/>
                <w:szCs w:val="24"/>
                <w:lang w:val="en-US" w:eastAsia="zh-CN"/>
              </w:rPr>
              <w:t>施工期产生的</w:t>
            </w:r>
            <w:r>
              <w:rPr>
                <w:rFonts w:hint="default" w:ascii="Times New Roman" w:hAnsi="Times New Roman" w:eastAsia="仿宋_GB2312" w:cs="Times New Roman"/>
                <w:color w:val="000000"/>
                <w:sz w:val="24"/>
                <w:szCs w:val="24"/>
              </w:rPr>
              <w:t>不可利用回收部分运至</w:t>
            </w:r>
            <w:r>
              <w:rPr>
                <w:rFonts w:hint="default" w:ascii="Times New Roman" w:hAnsi="Times New Roman" w:eastAsia="仿宋_GB2312" w:cs="Times New Roman"/>
                <w:color w:val="000000"/>
                <w:sz w:val="24"/>
                <w:szCs w:val="24"/>
                <w:lang w:val="en-US" w:eastAsia="zh-CN"/>
              </w:rPr>
              <w:t>建筑垃圾填埋场</w:t>
            </w:r>
            <w:r>
              <w:rPr>
                <w:rFonts w:hint="default" w:ascii="Times New Roman" w:hAnsi="Times New Roman" w:eastAsia="仿宋_GB2312" w:cs="Times New Roman"/>
                <w:color w:val="000000"/>
                <w:sz w:val="24"/>
                <w:szCs w:val="24"/>
              </w:rPr>
              <w:t>填埋处置</w:t>
            </w:r>
            <w:r>
              <w:rPr>
                <w:rFonts w:hint="default" w:ascii="Times New Roman" w:hAnsi="Times New Roman" w:eastAsia="仿宋_GB2312" w:cs="Times New Roman"/>
                <w:b w:val="0"/>
                <w:bCs/>
                <w:color w:val="auto"/>
                <w:kern w:val="2"/>
                <w:sz w:val="24"/>
                <w:szCs w:val="24"/>
                <w:lang w:val="en-US" w:eastAsia="zh-CN" w:bidi="ar-SA"/>
              </w:rPr>
              <w:t>。生活垃圾收集后运至垃圾填埋场</w:t>
            </w:r>
            <w:r>
              <w:rPr>
                <w:rFonts w:hint="eastAsia" w:ascii="Times New Roman" w:hAnsi="Times New Roman" w:eastAsia="仿宋_GB2312" w:cs="Times New Roman"/>
                <w:b w:val="0"/>
                <w:bCs/>
                <w:color w:val="auto"/>
                <w:kern w:val="2"/>
                <w:sz w:val="24"/>
                <w:szCs w:val="24"/>
                <w:lang w:val="en-US" w:eastAsia="zh-CN" w:bidi="ar-SA"/>
              </w:rPr>
              <w:t>处理</w:t>
            </w:r>
            <w:r>
              <w:rPr>
                <w:rFonts w:hint="default" w:ascii="Times New Roman" w:hAnsi="Times New Roman" w:eastAsia="仿宋_GB2312" w:cs="Times New Roman"/>
                <w:b w:val="0"/>
                <w:bCs/>
                <w:color w:val="auto"/>
                <w:kern w:val="2"/>
                <w:sz w:val="24"/>
                <w:szCs w:val="24"/>
                <w:lang w:val="en-US" w:eastAsia="zh-CN" w:bidi="ar-SA"/>
              </w:rPr>
              <w:t>。</w:t>
            </w:r>
          </w:p>
          <w:p w14:paraId="65FAF607">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bCs w:val="0"/>
                <w:color w:val="auto"/>
                <w:kern w:val="2"/>
                <w:sz w:val="24"/>
                <w:szCs w:val="24"/>
                <w:lang w:val="en-US" w:eastAsia="zh-CN" w:bidi="ar-SA"/>
              </w:rPr>
              <w:t>生态：</w:t>
            </w:r>
            <w:r>
              <w:rPr>
                <w:rFonts w:hint="default" w:ascii="Times New Roman" w:hAnsi="Times New Roman" w:eastAsia="仿宋_GB2312" w:cs="Times New Roman"/>
                <w:b w:val="0"/>
                <w:bCs/>
                <w:color w:val="auto"/>
                <w:kern w:val="2"/>
                <w:sz w:val="24"/>
                <w:szCs w:val="24"/>
                <w:lang w:val="en-US" w:eastAsia="zh-CN" w:bidi="ar-SA"/>
              </w:rPr>
              <w:t>陆生植被恢复措施：划定施工作业带宽度，严禁越界施工，严禁砍伐野外植被；施工场地结束后进行场地平整，选用当地适宜物种进行生态恢复。陆生动物保护措施：施工期加强管理，对施工人员进行教育，增强环保意识，杜绝施工期的捕杀、狩猎行为。水生生态保护措施：加强管理、教育，严禁施工人员进行捕捞，严禁向河内排放任何污水和固废垃圾等。严禁施工人员在施工水域附近从事有碍水生生态环境的活动；水土保持：严格落实水土保持报告中提出的水保措施，土石方开挖做好边坡防护及排水设施。施工结束后，对施工工区进行恢复，对临时占地进行迹地平整和生态恢复，做好建设项目土石方平衡。</w:t>
            </w:r>
          </w:p>
        </w:tc>
        <w:tc>
          <w:tcPr>
            <w:tcW w:w="478" w:type="dxa"/>
            <w:tcBorders>
              <w:tl2br w:val="nil"/>
              <w:tr2bl w:val="nil"/>
            </w:tcBorders>
            <w:shd w:val="clear" w:color="auto" w:fill="auto"/>
            <w:noWrap/>
            <w:tcMar>
              <w:top w:w="12" w:type="dxa"/>
              <w:left w:w="12" w:type="dxa"/>
              <w:right w:w="12" w:type="dxa"/>
            </w:tcMar>
            <w:vAlign w:val="center"/>
          </w:tcPr>
          <w:p w14:paraId="39421E4A">
            <w:pPr>
              <w:widowControl/>
              <w:adjustRightInd w:val="0"/>
              <w:snapToGrid w:val="0"/>
              <w:jc w:val="center"/>
              <w:rPr>
                <w:rFonts w:hint="default" w:ascii="Times New Roman" w:hAnsi="Times New Roman" w:eastAsia="仿宋" w:cs="Times New Roman"/>
                <w:color w:val="000000"/>
                <w:sz w:val="22"/>
                <w:szCs w:val="22"/>
              </w:rPr>
            </w:pPr>
          </w:p>
        </w:tc>
      </w:tr>
    </w:tbl>
    <w:p w14:paraId="2BB6B647">
      <w:pPr>
        <w:rPr>
          <w:rFonts w:hint="default" w:ascii="Times New Roman" w:hAnsi="Times New Roman" w:eastAsia="方正仿宋简体" w:cs="Times New Roman"/>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1" w:fontKey="{B816FBEE-B591-40AB-B82B-1AFF972A77C9}"/>
  </w:font>
  <w:font w:name="方正仿宋简体">
    <w:altName w:val="微软雅黑"/>
    <w:panose1 w:val="03000509000000000000"/>
    <w:charset w:val="86"/>
    <w:family w:val="script"/>
    <w:pitch w:val="default"/>
    <w:sig w:usb0="00000000" w:usb1="00000000" w:usb2="00000000" w:usb3="00000000" w:csb0="00040000" w:csb1="00000000"/>
    <w:embedRegular r:id="rId2" w:fontKey="{9342021E-5CB9-41DC-9631-40610E4613D6}"/>
  </w:font>
  <w:font w:name="仿宋">
    <w:panose1 w:val="02010609060101010101"/>
    <w:charset w:val="86"/>
    <w:family w:val="modern"/>
    <w:pitch w:val="default"/>
    <w:sig w:usb0="800002BF" w:usb1="38CF7CFA" w:usb2="00000016" w:usb3="00000000" w:csb0="00040001" w:csb1="00000000"/>
    <w:embedRegular r:id="rId3" w:fontKey="{55520946-E02F-4F5C-954B-2A549E5CDBBD}"/>
  </w:font>
  <w:font w:name="仿宋_GB2312">
    <w:panose1 w:val="02010609030101010101"/>
    <w:charset w:val="86"/>
    <w:family w:val="modern"/>
    <w:pitch w:val="default"/>
    <w:sig w:usb0="00000001" w:usb1="080E0000" w:usb2="00000000" w:usb3="00000000" w:csb0="00040000" w:csb1="00000000"/>
    <w:embedRegular r:id="rId4" w:fontKey="{2386A45E-8F81-4119-8BC2-BD8FA9AD98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0"/>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F559C8"/>
    <w:rsid w:val="00F56885"/>
    <w:rsid w:val="00F57396"/>
    <w:rsid w:val="00F63495"/>
    <w:rsid w:val="00F74729"/>
    <w:rsid w:val="00F75288"/>
    <w:rsid w:val="00F92700"/>
    <w:rsid w:val="00F9350E"/>
    <w:rsid w:val="01F3608E"/>
    <w:rsid w:val="034F0B7A"/>
    <w:rsid w:val="043E19A3"/>
    <w:rsid w:val="04AC102F"/>
    <w:rsid w:val="05385465"/>
    <w:rsid w:val="058E74C9"/>
    <w:rsid w:val="05AD04C8"/>
    <w:rsid w:val="06450013"/>
    <w:rsid w:val="0708351A"/>
    <w:rsid w:val="083D3697"/>
    <w:rsid w:val="0B226176"/>
    <w:rsid w:val="0D9E6986"/>
    <w:rsid w:val="0E7732C5"/>
    <w:rsid w:val="0E835B7C"/>
    <w:rsid w:val="0FC25C6E"/>
    <w:rsid w:val="10167505"/>
    <w:rsid w:val="10170A8F"/>
    <w:rsid w:val="10815436"/>
    <w:rsid w:val="1137604C"/>
    <w:rsid w:val="12217B86"/>
    <w:rsid w:val="123C09A1"/>
    <w:rsid w:val="124F624D"/>
    <w:rsid w:val="126F417E"/>
    <w:rsid w:val="13331AE4"/>
    <w:rsid w:val="147839C4"/>
    <w:rsid w:val="14AB2DF5"/>
    <w:rsid w:val="157FA139"/>
    <w:rsid w:val="15EF415A"/>
    <w:rsid w:val="18654306"/>
    <w:rsid w:val="1A4563DB"/>
    <w:rsid w:val="1B6F0D89"/>
    <w:rsid w:val="1B82353E"/>
    <w:rsid w:val="1BD14A1C"/>
    <w:rsid w:val="1BD9327F"/>
    <w:rsid w:val="1C980375"/>
    <w:rsid w:val="1DFB4B0E"/>
    <w:rsid w:val="1E290C61"/>
    <w:rsid w:val="1E906667"/>
    <w:rsid w:val="1FD91AA0"/>
    <w:rsid w:val="1FEB4ADC"/>
    <w:rsid w:val="21ED1832"/>
    <w:rsid w:val="242A409C"/>
    <w:rsid w:val="25FBB4CF"/>
    <w:rsid w:val="2622709F"/>
    <w:rsid w:val="2677414A"/>
    <w:rsid w:val="26CA4CA5"/>
    <w:rsid w:val="27736594"/>
    <w:rsid w:val="28337089"/>
    <w:rsid w:val="285611FE"/>
    <w:rsid w:val="2A5902D3"/>
    <w:rsid w:val="2AFB5F99"/>
    <w:rsid w:val="2B404781"/>
    <w:rsid w:val="2B6FAADE"/>
    <w:rsid w:val="2DAD524B"/>
    <w:rsid w:val="2DB33930"/>
    <w:rsid w:val="302763D4"/>
    <w:rsid w:val="33720508"/>
    <w:rsid w:val="33953AD8"/>
    <w:rsid w:val="33EC6D45"/>
    <w:rsid w:val="342B6C3B"/>
    <w:rsid w:val="34474DD2"/>
    <w:rsid w:val="34D31A54"/>
    <w:rsid w:val="35F9013B"/>
    <w:rsid w:val="36B47640"/>
    <w:rsid w:val="37E07C0C"/>
    <w:rsid w:val="38210EEC"/>
    <w:rsid w:val="3829658E"/>
    <w:rsid w:val="38BE13DB"/>
    <w:rsid w:val="38F16489"/>
    <w:rsid w:val="399F8A65"/>
    <w:rsid w:val="3A3B2671"/>
    <w:rsid w:val="3ABEE512"/>
    <w:rsid w:val="3B912340"/>
    <w:rsid w:val="3D821FA8"/>
    <w:rsid w:val="3D964ECC"/>
    <w:rsid w:val="3DBF1004"/>
    <w:rsid w:val="3EFA2C08"/>
    <w:rsid w:val="3EFA6835"/>
    <w:rsid w:val="3F3C4863"/>
    <w:rsid w:val="3F500557"/>
    <w:rsid w:val="3F5F458B"/>
    <w:rsid w:val="3F6D7D6E"/>
    <w:rsid w:val="3F8F6459"/>
    <w:rsid w:val="40426A2B"/>
    <w:rsid w:val="408A6102"/>
    <w:rsid w:val="40BA27A7"/>
    <w:rsid w:val="41B644C2"/>
    <w:rsid w:val="41C9151C"/>
    <w:rsid w:val="41D6542A"/>
    <w:rsid w:val="426A6AEC"/>
    <w:rsid w:val="429C09DF"/>
    <w:rsid w:val="44897EAA"/>
    <w:rsid w:val="44AD1CB3"/>
    <w:rsid w:val="44D73F50"/>
    <w:rsid w:val="44E977E0"/>
    <w:rsid w:val="4695483C"/>
    <w:rsid w:val="46C5407D"/>
    <w:rsid w:val="477D57DD"/>
    <w:rsid w:val="49D22F38"/>
    <w:rsid w:val="4A17094B"/>
    <w:rsid w:val="4A380DCB"/>
    <w:rsid w:val="4BBD1C41"/>
    <w:rsid w:val="4D305358"/>
    <w:rsid w:val="4D92310A"/>
    <w:rsid w:val="4DCD5EF0"/>
    <w:rsid w:val="4DFF9EC2"/>
    <w:rsid w:val="4E1D0E53"/>
    <w:rsid w:val="4FC5161A"/>
    <w:rsid w:val="4FE4089F"/>
    <w:rsid w:val="4FFE763F"/>
    <w:rsid w:val="50001485"/>
    <w:rsid w:val="50846CE2"/>
    <w:rsid w:val="51F6353C"/>
    <w:rsid w:val="52D76189"/>
    <w:rsid w:val="52DF9DB1"/>
    <w:rsid w:val="5370424B"/>
    <w:rsid w:val="53931362"/>
    <w:rsid w:val="53AC719C"/>
    <w:rsid w:val="540D6492"/>
    <w:rsid w:val="545F20C8"/>
    <w:rsid w:val="57C8113E"/>
    <w:rsid w:val="58E62564"/>
    <w:rsid w:val="596D4A2C"/>
    <w:rsid w:val="5A0E1D6B"/>
    <w:rsid w:val="5A6324D2"/>
    <w:rsid w:val="5A7C34DF"/>
    <w:rsid w:val="5AC74CCE"/>
    <w:rsid w:val="5CFFCD0A"/>
    <w:rsid w:val="5D930818"/>
    <w:rsid w:val="5D990F8E"/>
    <w:rsid w:val="5E7FF9BA"/>
    <w:rsid w:val="5EA77EBF"/>
    <w:rsid w:val="5ECF650F"/>
    <w:rsid w:val="5FDE5812"/>
    <w:rsid w:val="60251FEF"/>
    <w:rsid w:val="617D1584"/>
    <w:rsid w:val="61FE0917"/>
    <w:rsid w:val="63C811DC"/>
    <w:rsid w:val="64366A3D"/>
    <w:rsid w:val="660F30F2"/>
    <w:rsid w:val="667C005C"/>
    <w:rsid w:val="66D10E74"/>
    <w:rsid w:val="66EE2624"/>
    <w:rsid w:val="677B697A"/>
    <w:rsid w:val="67A57018"/>
    <w:rsid w:val="67F7261E"/>
    <w:rsid w:val="68C53EAA"/>
    <w:rsid w:val="68C75093"/>
    <w:rsid w:val="68ED071C"/>
    <w:rsid w:val="6B2A5CA9"/>
    <w:rsid w:val="6BA82065"/>
    <w:rsid w:val="6BD57D6A"/>
    <w:rsid w:val="6BD77BCB"/>
    <w:rsid w:val="6CF796A2"/>
    <w:rsid w:val="6E6A5AD6"/>
    <w:rsid w:val="6EDA733E"/>
    <w:rsid w:val="6FF3138F"/>
    <w:rsid w:val="70650C41"/>
    <w:rsid w:val="73AE523B"/>
    <w:rsid w:val="74026044"/>
    <w:rsid w:val="7405709B"/>
    <w:rsid w:val="743C63D3"/>
    <w:rsid w:val="75897E51"/>
    <w:rsid w:val="75BE2725"/>
    <w:rsid w:val="75FF21C6"/>
    <w:rsid w:val="76DB0611"/>
    <w:rsid w:val="77FF60D9"/>
    <w:rsid w:val="786747D6"/>
    <w:rsid w:val="795F61DB"/>
    <w:rsid w:val="79FE411D"/>
    <w:rsid w:val="7AFE9D87"/>
    <w:rsid w:val="7AFF2FB3"/>
    <w:rsid w:val="7B5F2BFA"/>
    <w:rsid w:val="7BBE5CD9"/>
    <w:rsid w:val="7CD97B5E"/>
    <w:rsid w:val="7CFDFD23"/>
    <w:rsid w:val="7D292894"/>
    <w:rsid w:val="7D8F4C2B"/>
    <w:rsid w:val="7D985324"/>
    <w:rsid w:val="7DBBFCF2"/>
    <w:rsid w:val="7DE3400C"/>
    <w:rsid w:val="7DFFB6AC"/>
    <w:rsid w:val="7F392B36"/>
    <w:rsid w:val="7F3D7598"/>
    <w:rsid w:val="7F5FECB3"/>
    <w:rsid w:val="7F667D7C"/>
    <w:rsid w:val="7F9D4E5B"/>
    <w:rsid w:val="7FDB4040"/>
    <w:rsid w:val="7FDF2524"/>
    <w:rsid w:val="7FED8F67"/>
    <w:rsid w:val="7FEF450D"/>
    <w:rsid w:val="7FF69199"/>
    <w:rsid w:val="7FFB627E"/>
    <w:rsid w:val="7FFE7A74"/>
    <w:rsid w:val="7FFF0941"/>
    <w:rsid w:val="8FBFED10"/>
    <w:rsid w:val="9EA346A5"/>
    <w:rsid w:val="B5D3EFDA"/>
    <w:rsid w:val="B9BFD771"/>
    <w:rsid w:val="BB7D1B05"/>
    <w:rsid w:val="BEFDC336"/>
    <w:rsid w:val="BFEF0D77"/>
    <w:rsid w:val="BFF01626"/>
    <w:rsid w:val="CDED962D"/>
    <w:rsid w:val="D4FFEA44"/>
    <w:rsid w:val="D7B568C5"/>
    <w:rsid w:val="D7DF2D68"/>
    <w:rsid w:val="D7FF58E1"/>
    <w:rsid w:val="DBF395B2"/>
    <w:rsid w:val="DBF74256"/>
    <w:rsid w:val="DEFF2D83"/>
    <w:rsid w:val="DF5F6C15"/>
    <w:rsid w:val="E66F35FF"/>
    <w:rsid w:val="EBDBC3E1"/>
    <w:rsid w:val="EF9930BC"/>
    <w:rsid w:val="EFD328C4"/>
    <w:rsid w:val="F36C23D1"/>
    <w:rsid w:val="F67F8FB7"/>
    <w:rsid w:val="F7BFEE93"/>
    <w:rsid w:val="F7FFF6BC"/>
    <w:rsid w:val="F9FF584B"/>
    <w:rsid w:val="FB755858"/>
    <w:rsid w:val="FBFF9D86"/>
    <w:rsid w:val="FDF714E5"/>
    <w:rsid w:val="FDFD27F4"/>
    <w:rsid w:val="FE660CCB"/>
    <w:rsid w:val="FF5B8971"/>
    <w:rsid w:val="FFFA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rPr>
      <w:rFonts w:ascii="Times New Roman" w:hAnsi="Times New Roman" w:eastAsia="宋体" w:cs="Times New Roman"/>
    </w:r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8">
    <w:name w:val="Body Text Indent"/>
    <w:basedOn w:val="1"/>
    <w:next w:val="1"/>
    <w:link w:val="50"/>
    <w:qFormat/>
    <w:uiPriority w:val="0"/>
    <w:pPr>
      <w:spacing w:after="120"/>
      <w:ind w:left="420" w:leftChars="200"/>
    </w:pPr>
  </w:style>
  <w:style w:type="paragraph" w:styleId="9">
    <w:name w:val="Plain Text"/>
    <w:basedOn w:val="1"/>
    <w:next w:val="10"/>
    <w:link w:val="39"/>
    <w:qFormat/>
    <w:uiPriority w:val="0"/>
    <w:rPr>
      <w:rFonts w:ascii="宋体" w:hAnsi="Courier New" w:eastAsia="宋体" w:cs="Times New Roman"/>
    </w:rPr>
  </w:style>
  <w:style w:type="paragraph" w:styleId="10">
    <w:name w:val="List Number 5"/>
    <w:basedOn w:val="1"/>
    <w:qFormat/>
    <w:uiPriority w:val="0"/>
    <w:pPr>
      <w:numPr>
        <w:ilvl w:val="0"/>
        <w:numId w:val="1"/>
      </w:numPr>
    </w:pPr>
  </w:style>
  <w:style w:type="paragraph" w:styleId="11">
    <w:name w:val="List Bullet 5"/>
    <w:basedOn w:val="1"/>
    <w:qFormat/>
    <w:uiPriority w:val="0"/>
    <w:pPr>
      <w:numPr>
        <w:ilvl w:val="0"/>
        <w:numId w:val="2"/>
      </w:numPr>
    </w:pPr>
  </w:style>
  <w:style w:type="paragraph" w:styleId="12">
    <w:name w:val="Body Text Indent 2"/>
    <w:basedOn w:val="1"/>
    <w:link w:val="40"/>
    <w:qFormat/>
    <w:uiPriority w:val="0"/>
    <w:pPr>
      <w:spacing w:after="120" w:line="480" w:lineRule="auto"/>
      <w:ind w:left="420" w:leftChars="200"/>
    </w:pPr>
  </w:style>
  <w:style w:type="paragraph" w:styleId="13">
    <w:name w:val="Balloon Text"/>
    <w:basedOn w:val="1"/>
    <w:link w:val="49"/>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6"/>
    <w:next w:val="8"/>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8"/>
    <w:next w:val="9"/>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3"/>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15"/>
    <w:qFormat/>
    <w:uiPriority w:val="0"/>
    <w:rPr>
      <w:rFonts w:asciiTheme="minorHAnsi" w:hAnsiTheme="minorHAnsi" w:eastAsiaTheme="minorEastAsia" w:cstheme="minorBidi"/>
      <w:kern w:val="2"/>
      <w:sz w:val="18"/>
      <w:szCs w:val="18"/>
    </w:rPr>
  </w:style>
  <w:style w:type="character" w:customStyle="1" w:styleId="37">
    <w:name w:val="页脚 Char"/>
    <w:basedOn w:val="23"/>
    <w:link w:val="14"/>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9"/>
    <w:qFormat/>
    <w:uiPriority w:val="0"/>
    <w:rPr>
      <w:rFonts w:ascii="宋体" w:hAnsi="Courier New"/>
      <w:kern w:val="2"/>
      <w:sz w:val="21"/>
      <w:szCs w:val="24"/>
    </w:rPr>
  </w:style>
  <w:style w:type="character" w:customStyle="1" w:styleId="40">
    <w:name w:val="正文文本缩进 2 Char"/>
    <w:basedOn w:val="23"/>
    <w:link w:val="12"/>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3"/>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8"/>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 w:type="paragraph" w:customStyle="1" w:styleId="59">
    <w:name w:val="书-正文"/>
    <w:basedOn w:val="1"/>
    <w:qFormat/>
    <w:uiPriority w:val="0"/>
    <w:pPr>
      <w:spacing w:line="360" w:lineRule="auto"/>
      <w:ind w:firstLine="480" w:firstLineChars="200"/>
      <w:jc w:val="both"/>
    </w:pPr>
    <w:rPr>
      <w:rFonts w:cs="Times New Roman"/>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8305e08f-c46b-46f6-bf3a-7864d4328688</errorID>
      <errorWord>程</errorWord>
      <group>L1_Word</group>
      <groupName>字词问题</groupName>
      <ability>L2_Typo</ability>
      <abilityName>字词错误</abilityName>
      <candidateList>
        <item>程中</item>
      </candidateList>
      <explain/>
      <paraID> 1FF20F7</paraID>
      <start>8</start>
      <end>9</end>
      <status>ignored</status>
      <modifiedWord/>
      <trackRevisions>false</trackRevisions>
    </reviewItem>
  </reviewItems>
  <config/>
</contractReview>
</file>

<file path=customXml/itemProps1.xml><?xml version="1.0" encoding="utf-8"?>
<ds:datastoreItem xmlns:ds="http://schemas.openxmlformats.org/officeDocument/2006/customXml" ds:itemID="{58555c41-6513-4324-ae63-407ac94c7fd9}">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4</Pages>
  <Words>1019</Words>
  <Characters>1105</Characters>
  <Lines>11</Lines>
  <Paragraphs>3</Paragraphs>
  <TotalTime>1</TotalTime>
  <ScaleCrop>false</ScaleCrop>
  <LinksUpToDate>false</LinksUpToDate>
  <CharactersWithSpaces>1108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2021-03-22T20:34:00Z</dcterms:created>
  <dc:creator>Administrator</dc:creator>
  <cp:lastModifiedBy>墨瑞金阁</cp:lastModifiedBy>
  <cp:lastPrinted>2026-01-19T10:39:49Z</cp:lastPrinted>
  <dcterms:modified xsi:type="dcterms:W3CDTF">2026-01-19T11:15:10Z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332412424_cloud</vt:lpwstr>
  </property>
  <property fmtid="{D5CDD505-2E9C-101B-9397-08002B2CF9AE}" pid="4" name="ICV">
    <vt:lpwstr>1D1172605ED947CE90053BA666765763_13</vt:lpwstr>
  </property>
  <property fmtid="{D5CDD505-2E9C-101B-9397-08002B2CF9AE}" pid="5" name="KSOTemplateDocerSaveRecord">
    <vt:lpwstr>eyJoZGlkIjoiNTU0ZmIwYTQ3NzlmZGUxZmU3Zjk0M2IyZTNmM2IxNjAiLCJ1c2VySWQiOiIxMDU2NTI2MzgwIn0=</vt:lpwstr>
  </property>
</Properties>
</file>