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B062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97FAB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经营性人力资源服务机构信用</w:t>
      </w:r>
    </w:p>
    <w:p w14:paraId="2D1E3E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等级评价制度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bookmarkEnd w:id="0"/>
    <w:p w14:paraId="3F6251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7B487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总 则</w:t>
      </w:r>
    </w:p>
    <w:p w14:paraId="36AD0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25B0DF8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规范经营性人力资源服务机构经营行为，健全信用监管体系，强化守信激励和失信约束，提升人力资源市场规范化、专业化、诚信化水平，根据《中华人民共和国就业促进法》《人力资源市场暂行条例》等法律法规，结合实际，制定本制度。</w:t>
      </w:r>
    </w:p>
    <w:p w14:paraId="15CFEF2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本制度适用于在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师市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依法设立、取得《人力资源服务许可证》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或设立分支机构备案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经营性人力资源服务机构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信用等级评价、结果运用及监督管理。</w:t>
      </w:r>
    </w:p>
    <w:p w14:paraId="7453E4E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信用等级评价坚持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依法依规、客观公正、量化评分、动态调整、公开透明的原则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，实行百分制评分与一票否决相结合。</w:t>
      </w:r>
    </w:p>
    <w:p w14:paraId="65EFCDB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人力资源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社会保障行政部门负责组织实施信用等级评价、结果公示、动态管理与联合运用工作。</w:t>
      </w:r>
    </w:p>
    <w:p w14:paraId="1E1E7F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1B695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 评价内容与评分标准（总分100分）</w:t>
      </w:r>
    </w:p>
    <w:p w14:paraId="235F87C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635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第一节 基本条件（10分）</w:t>
      </w:r>
    </w:p>
    <w:p w14:paraId="7352226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证照资质（3分）</w:t>
      </w:r>
    </w:p>
    <w:p w14:paraId="1C92C6F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依法取得《人力资源服务许可证》且在有效期内，分支机构按规定完成备案。无证照扣3分；许可证过期、未备案或备案不合规扣2分；证照信息与实际经营情况不符扣1分。</w:t>
      </w:r>
    </w:p>
    <w:p w14:paraId="4066470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年报公示（4分）</w:t>
      </w:r>
    </w:p>
    <w:p w14:paraId="668288F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按规定时限完成年度报告公示，信息真实、准确、完整。逾期1个月内扣1分，1—3个月扣2分，3个月以上扣4分；信息漏报、错报、虚假每处扣1分，累计扣完为止。</w:t>
      </w:r>
    </w:p>
    <w:p w14:paraId="656802E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经营场所（3分）</w:t>
      </w:r>
    </w:p>
    <w:p w14:paraId="2CEB634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经营场所与备案地址一致，具备必要服务设施和办公条件。场所与备案地址不符扣1分；无基本服务设施、影响正常经营扣2—3分。</w:t>
      </w:r>
    </w:p>
    <w:p w14:paraId="4B7B2AA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第二节 服务规范（20分）</w:t>
      </w:r>
    </w:p>
    <w:p w14:paraId="693F3A5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信息公示（5分）</w:t>
      </w:r>
    </w:p>
    <w:p w14:paraId="0C7E3D5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在经营场所显著位置公示服务项目、收费标准、监督电话、从业人员信息等，内容完整、更新及时。未公示核心信息扣5分；缺一项扣1分，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公示不规范、更新不及时酌情扣分。</w:t>
      </w:r>
    </w:p>
    <w:p w14:paraId="477DAD3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就业信息合规（6分）</w:t>
      </w:r>
    </w:p>
    <w:p w14:paraId="0A9EC9E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发布招聘信息真实、合法，无虚假宣传、歧视性内容。发布虚假招聘信息每条扣2分；含歧视性内容每条扣1分；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发布相关招聘信息前报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社会保障行政部门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审核备案，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未审核备案每条扣1分，累计扣完为止。</w:t>
      </w:r>
    </w:p>
    <w:p w14:paraId="78D09E2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服务台账（4分）</w:t>
      </w:r>
    </w:p>
    <w:p w14:paraId="3D1E8EF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建立完整服务台账，记录服务对象、服务过程、合同协议等，保存期限不少于2年。未建立台账扣4分；台账不完整、</w:t>
      </w:r>
    </w:p>
    <w:p w14:paraId="75B6EFA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不规范扣1—2分；保存不足2年扣2分。</w:t>
      </w:r>
    </w:p>
    <w:p w14:paraId="46AE8D1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7.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投诉处理（5分）</w:t>
      </w:r>
    </w:p>
    <w:p w14:paraId="46F46DB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建立投诉处理机制，响应时间≤3个工作日，办结率≥90%。未建立机制扣5分；响应超时每次扣1分；办结率每降低10%扣1分，累计扣完为止。</w:t>
      </w:r>
    </w:p>
    <w:p w14:paraId="4B1318F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第三节 内部管理（10分）</w:t>
      </w:r>
    </w:p>
    <w:p w14:paraId="7832E0F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8.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规章制度（3分）</w:t>
      </w:r>
    </w:p>
    <w:p w14:paraId="6C2BF2D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建立健全服务流程、员工管理、保密、风险防控等制度并有效执行。缺一项核心制度扣1分；制度未执行发现1次扣1分，累计扣完为止。</w:t>
      </w:r>
    </w:p>
    <w:p w14:paraId="20D085F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9.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人员管理与培训（4分）</w:t>
      </w:r>
    </w:p>
    <w:p w14:paraId="334A2FE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从业人员具备相应职业素养，关键岗位持证上岗；年度培训≥2次、时长≥16学时。关键岗位无证上岗每人次扣1分；培训次数不足扣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1分；时长每少4学时扣1分，累计扣完为止。</w:t>
      </w:r>
    </w:p>
    <w:p w14:paraId="5504A13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10.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档案管理（3分）</w:t>
      </w:r>
    </w:p>
    <w:p w14:paraId="30E425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劳动者、用人单位档案管理规范，无丢失、泄露、篡改。档案丢失、篡改每份扣1分；信息泄露每次扣2分；管理混乱扣1分，累计扣完为止。</w:t>
      </w:r>
    </w:p>
    <w:p w14:paraId="4E823E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第四节 信用状况（30分）</w:t>
      </w:r>
    </w:p>
    <w:p w14:paraId="2990E21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11.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劳动保障合规（10分）</w:t>
      </w:r>
    </w:p>
    <w:p w14:paraId="2D86532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遵守劳动保障法律法规，无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拖欠工资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、未依法签订劳动合同、未依法缴纳社保等行为。发生欠薪每人次扣2分；未签劳动合同、未缴社保每人次扣1分，累计扣完为止。</w:t>
      </w:r>
    </w:p>
    <w:p w14:paraId="6639B8F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12.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行政处罚记录（12分）</w:t>
      </w:r>
    </w:p>
    <w:p w14:paraId="337E86D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评价周期内无行政处罚。受到警告处罚每次扣3分；罚款处罚每次扣5分；责令停业整顿扣10分，累计扣完为止。</w:t>
      </w:r>
    </w:p>
    <w:p w14:paraId="27361A2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13.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纳税与信贷信用（4分）</w:t>
      </w:r>
    </w:p>
    <w:p w14:paraId="7B2FAA1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纳税及时足额，无偷税漏税；信贷记录良好，无不良信用。不良信贷记录每条扣2分；纳税逾期每次扣1分；存在偷税漏税扣4分。</w:t>
      </w:r>
    </w:p>
    <w:p w14:paraId="3C646DD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14.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行业自律（4分）</w:t>
      </w:r>
    </w:p>
    <w:p w14:paraId="10F143F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遵守行业协会章程，无同业查实投诉，积极参与自律活动。违反自律公约、同业投诉查实每次扣2分；无故不参加自律活动每次扣1分，累计扣完为止。</w:t>
      </w:r>
    </w:p>
    <w:p w14:paraId="558152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第五节 服务业绩（15分）</w:t>
      </w:r>
    </w:p>
    <w:p w14:paraId="076CE0E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15.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服务规模与数量（5分）</w:t>
      </w:r>
    </w:p>
    <w:p w14:paraId="59ADD3E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年度服务用人单位≥50家或服务劳动者≥500人次。每少10家单位/100人次扣1分，低于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扣5分。</w:t>
      </w:r>
    </w:p>
    <w:p w14:paraId="22E2CAE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16.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服务对象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满意度（6分）</w:t>
      </w:r>
    </w:p>
    <w:p w14:paraId="2195CC6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社会保障行政部门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对服务象满意度展开调查，服务对象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满意度≥90%。满意度每降低5%扣1分，低于80%扣6分。</w:t>
      </w:r>
    </w:p>
    <w:p w14:paraId="3664099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17.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服务质量（4分）</w:t>
      </w:r>
    </w:p>
    <w:p w14:paraId="646BDF2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无查实服务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质量投诉。投诉查实每次扣1分，累计扣完为止。</w:t>
      </w:r>
    </w:p>
    <w:p w14:paraId="2F42C9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第六节 社会责任（10分）</w:t>
      </w:r>
    </w:p>
    <w:p w14:paraId="3DE0FAB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18.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公益服务（3分）</w:t>
      </w:r>
    </w:p>
    <w:p w14:paraId="710E720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年度参与公益招聘、就业指导等公益服务≥1次。未参与扣3分；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或应当参与但</w:t>
      </w:r>
      <w:r>
        <w:rPr>
          <w:rFonts w:hint="eastAsia" w:ascii="仿宋_GB2312" w:hAnsi="仿宋_GB2312" w:eastAsia="仿宋_GB2312" w:cs="仿宋_GB2312"/>
          <w:sz w:val="32"/>
          <w:szCs w:val="32"/>
        </w:rPr>
        <w:t>次数不足按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照未参与次数比例（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未参与次数比例33%及以下的扣1分，未参与次数比例在66%及以下的扣2分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扣分。</w:t>
      </w:r>
    </w:p>
    <w:p w14:paraId="730756C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19.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特殊群体就业支持（4分）</w:t>
      </w:r>
    </w:p>
    <w:p w14:paraId="2056C90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为残疾人、退役军人、就业困难人员推荐就业≥10人次。每少2人次扣1分，未提供服务扣4分。</w:t>
      </w:r>
    </w:p>
    <w:p w14:paraId="753905F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20.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行业贡献（3分）</w:t>
      </w:r>
    </w:p>
    <w:p w14:paraId="459CCD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参与行业标准制定、经验推广、课题研究或获区级以上表彰。无相关表现扣3分；按表彰层级与贡献度酌情计分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，师市级普通媒体表彰得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1分，师市级重要媒体、兵团级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普通媒体表彰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表彰2分，兵团级重要媒体及以上表彰得3分。</w:t>
      </w:r>
    </w:p>
    <w:p w14:paraId="33F9F1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第七节 合规经营（5分）</w:t>
      </w:r>
    </w:p>
    <w:p w14:paraId="7C0F8A0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21.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禁止性行为（5分）</w:t>
      </w:r>
    </w:p>
    <w:p w14:paraId="4AF7C67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无伪造、转让许可证，无违规开展劳务派遣、人力资源外包业务，无扣押劳动者证件、收取押金等行为。存在任一禁止性行为扣5分；违规开展业务每次扣2分；扣押证件、收取押金每人次扣1分，累计扣完为止。</w:t>
      </w:r>
    </w:p>
    <w:p w14:paraId="0CB7F4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EBF1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 一票否决情形</w:t>
      </w:r>
    </w:p>
    <w:p w14:paraId="780ACCE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评价周期内，机构存在下列情形之一的，直接评定D级（不合格），不参与百分制评分：</w:t>
      </w:r>
    </w:p>
    <w:p w14:paraId="76E540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（一）因使用童工、强迫劳动、重大安全生产事故等严重违法行为被查处的；</w:t>
      </w:r>
    </w:p>
    <w:p w14:paraId="738FF96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（二）引发群体性、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极端事件，造成严重不良社会影响的；</w:t>
      </w:r>
    </w:p>
    <w:p w14:paraId="21AD59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（三）拒不履行行政整改指令、行政处罚决定，或抗拒、</w:t>
      </w:r>
    </w:p>
    <w:p w14:paraId="4D5667A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阻碍监管部门检查的；</w:t>
      </w:r>
    </w:p>
    <w:p w14:paraId="526963E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（四）在评价过程中提供虚假材料、伪造证明文件的；</w:t>
      </w:r>
    </w:p>
    <w:p w14:paraId="3295366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（五）因劳动保障、人力资源服务相关违法行为被依法追究刑事责任的。</w:t>
      </w:r>
    </w:p>
    <w:p w14:paraId="517597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1B270E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 评价等级划分</w:t>
      </w:r>
    </w:p>
    <w:p w14:paraId="29E2A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4C9B878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信用等级从高到低依次划分为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A级（优秀）、B级（良好）、C级（合格）、D级（不合格）：</w:t>
      </w:r>
    </w:p>
    <w:p w14:paraId="4F3BA8D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（一）A级（优秀）：91—100分，无任何违法违规记录，客户满意度≥95%；</w:t>
      </w:r>
    </w:p>
    <w:p w14:paraId="563FF3B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（二）B级（良好）：81—90分，无行政处罚记录，轻微违规已全部整改；</w:t>
      </w:r>
    </w:p>
    <w:p w14:paraId="456BA82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（三）C级（合格）：71—80分，无重大违规行为，违规整改完成率≥80%；</w:t>
      </w:r>
    </w:p>
    <w:p w14:paraId="66E368B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（四）D级（不合格）：70分及以下，或触发本制度第五条一票否决情形。</w:t>
      </w:r>
    </w:p>
    <w:p w14:paraId="63C43A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第五章 扣分与整改规则</w:t>
      </w:r>
    </w:p>
    <w:p w14:paraId="11337CA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累计扣分制：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同一指标内多项违规累计扣分，扣完该指标分值为止，不跨指标倒扣。</w:t>
      </w:r>
    </w:p>
    <w:p w14:paraId="3E0A451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整改激励机制：</w:t>
      </w:r>
    </w:p>
    <w:p w14:paraId="1F779D3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（一）评价周期内，机构主动发现问题并完成整改，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按照《人力资源服务机构管理规定》流程报送的，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经监管部门核实后，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在计算该项指标最终得分时，按应扣分值的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（每项问题仅限1次，返还分值不超过该指标总分的30%）；</w:t>
      </w:r>
    </w:p>
    <w:p w14:paraId="6AD245B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（二）收到整改通知15日内完成整改的，可抵扣50%扣分；超过15日未整改的，加倍扣分。</w:t>
      </w:r>
    </w:p>
    <w:p w14:paraId="7D38A56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实行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动态扣分机制：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信用等级有效期内，新增违法违规行为的，即时扣除对应分值，并相应调整信用等级。</w:t>
      </w:r>
    </w:p>
    <w:p w14:paraId="5F8A85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D67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第六章 评价结果运用</w:t>
      </w:r>
    </w:p>
    <w:p w14:paraId="6584F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49EF69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A级（优秀）激励措施</w:t>
      </w:r>
    </w:p>
    <w:p w14:paraId="1A2B4FD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对A级机构实施以下激励：</w:t>
      </w:r>
    </w:p>
    <w:p w14:paraId="0313E70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（一）监管激励：年度日常巡查频次减少50%，免予常规性专项检查；开通“绿色通道”，简化行政审批流程；</w:t>
      </w:r>
    </w:p>
    <w:p w14:paraId="699FC7F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（二）政策倾斜：在政府购买人力资源服务项目、行业品牌扶持、财政补贴申报中，同等条件下优先入选；优先推荐参评国家级、省级诚信示范机构；</w:t>
      </w:r>
    </w:p>
    <w:p w14:paraId="237E6F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（三）荣誉表彰：颁发A级信用机构证书和牌匾，通过政府官网、信用平台向社会公示。</w:t>
      </w:r>
    </w:p>
    <w:p w14:paraId="0AF0D9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第二节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B级（良好）激励措施</w:t>
      </w:r>
    </w:p>
    <w:p w14:paraId="5454A14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对B级机构实施以下激励：</w:t>
      </w:r>
    </w:p>
    <w:p w14:paraId="25AB1F8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（一）监管激励：年度日常巡查频次减少30%，无有效投诉情况下，免予年度现场核查；</w:t>
      </w:r>
    </w:p>
    <w:p w14:paraId="56C04A2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（二）发展支持：正常参与各类政府项目申报和行业评优；优先获得行业政策培训、业务指导。</w:t>
      </w:r>
    </w:p>
    <w:p w14:paraId="275D114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第三节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C级（合格）约束措施</w:t>
      </w:r>
    </w:p>
    <w:p w14:paraId="3952E4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对C级机构实施以下约束：</w:t>
      </w:r>
    </w:p>
    <w:p w14:paraId="37FDA12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（一）监管强化：年度日常巡查频次增加50%，每季度开展1次合规性检查；限期提交整改报告；</w:t>
      </w:r>
    </w:p>
    <w:p w14:paraId="3C02266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（二）培训要求：强制参加诚信经营培训，年度培训不少于16学时，培训合格后方可参与部分政府项目申报；</w:t>
      </w:r>
    </w:p>
    <w:p w14:paraId="2472D06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（三）申报限制：不得参评当年度行业评优、诚信示范机构；政府购买服务申报时需额外提供合规担保材料。</w:t>
      </w:r>
    </w:p>
    <w:p w14:paraId="6B7D73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D级（不合格）约束措施</w:t>
      </w:r>
    </w:p>
    <w:p w14:paraId="4370F0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对D级机构实施严格监管与联合惩戒：</w:t>
      </w:r>
    </w:p>
    <w:p w14:paraId="63CD1D5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（一）重点监管：列入重点失信监管名单，每月开展1次现场检查；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发现问题在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向市场监管、税务、金融、发改等部门通报，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并依照相关法律法规规定按时组织现场取证、执法，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实施联合惩戒；</w:t>
      </w:r>
    </w:p>
    <w:p w14:paraId="427D306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（二）市场限制：禁止参与政府购买服务、公共资源交易、财政资金扶持等项目；暂停享受人力资源服务行业各类优惠政策；</w:t>
      </w:r>
    </w:p>
    <w:p w14:paraId="43B0D02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（三）退出机制：连续2年被评为D级的，依法责令停业整顿；整顿后仍未达标的，依法吊销《人力资源服务许可证》，向社会公示，推动市场清退。</w:t>
      </w:r>
    </w:p>
    <w:p w14:paraId="39E818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结果公示与共享</w:t>
      </w:r>
    </w:p>
    <w:p w14:paraId="701703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评价结果通过政府门户网站、人力资源市场信用信息平台公示，公示期5个工作日，接受社会监督。</w:t>
      </w:r>
    </w:p>
    <w:p w14:paraId="76458FB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建立评价结果共享机制，推送至同级市场监管、税务、金融、发改等部门，作为市场准入、资质认定、信贷审批、评优评先、资金安排的重要依据。</w:t>
      </w:r>
    </w:p>
    <w:p w14:paraId="78268B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1DBE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第七章 动态调整机制</w:t>
      </w:r>
    </w:p>
    <w:p w14:paraId="42290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67493FB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信用等级升降级机制：</w:t>
      </w:r>
    </w:p>
    <w:p w14:paraId="0782430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（一）A级机构出现轻微违规，下调为B级；B级机构年度得分提升至91分以上，可上调为A级；</w:t>
      </w:r>
    </w:p>
    <w:p w14:paraId="5A960E8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（二）C级机构6个月内整改到位且得分提升至81分以上，可上调为B级；</w:t>
      </w:r>
    </w:p>
    <w:p w14:paraId="3A0532C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（三）D级机构整改后得分≥71分的，可上调为C级。</w:t>
      </w:r>
    </w:p>
    <w:p w14:paraId="643609A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信用等级结果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每月更新1次，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根据新增信用信息实时调整分值和等级，并在3个工作日内公示。</w:t>
      </w:r>
    </w:p>
    <w:p w14:paraId="159533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第八章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权利救济与信用修复</w:t>
      </w:r>
    </w:p>
    <w:p w14:paraId="5E488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</w:pPr>
    </w:p>
    <w:p w14:paraId="2D2A4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第十八条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人力资源服务机构对信用等级评价、失信认定、惩戒等行政行为不服的，可依法申请行政复议、提起行政诉讼，或向相关部门提出书面申诉。</w:t>
      </w:r>
    </w:p>
    <w:p w14:paraId="19309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人力资源服务机构已纠正失信行为、履行法定义务且届满最短公示期的，可向失信认定机关或信用平台提交修复申请、整改材料及信用承诺。审核通过的，移出失信名单，终止公示与共享，解除惩戒。</w:t>
      </w:r>
    </w:p>
    <w:p w14:paraId="1B7BF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人力资源服务机构相关信用修复生效后，机构依法平等享有市场准入、行政许可、招投标、政府购买服务、融资信贷等权利，不再对因已修复失信行为加以限制。</w:t>
      </w:r>
    </w:p>
    <w:p w14:paraId="31C1D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6CE64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 附 则</w:t>
      </w:r>
    </w:p>
    <w:p w14:paraId="00286F4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B5011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 w14:paraId="1C6C639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本制度自印发之日起施行，原有相关规定与本制度不一致的，以本制度为准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8EDF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51EC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3DDB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C8F50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708" w:footer="708" w:gutter="0"/>
          <w:pgNumType w:fmt="decimal"/>
          <w:cols w:space="720" w:num="1"/>
          <w:docGrid w:linePitch="360" w:charSpace="0"/>
        </w:sectPr>
      </w:pPr>
    </w:p>
    <w:p w14:paraId="0295D003">
      <w:pPr>
        <w:pStyle w:val="2"/>
        <w:jc w:val="center"/>
      </w:pPr>
      <w:r>
        <w:t>经营性人力资源服务机构信用等级评价评分表</w:t>
      </w:r>
    </w:p>
    <w:tbl>
      <w:tblPr>
        <w:tblStyle w:val="7"/>
        <w:tblW w:w="5441" w:type="pct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2"/>
        <w:gridCol w:w="1440"/>
        <w:gridCol w:w="480"/>
        <w:gridCol w:w="4104"/>
        <w:gridCol w:w="2795"/>
        <w:gridCol w:w="900"/>
        <w:gridCol w:w="889"/>
        <w:gridCol w:w="936"/>
        <w:gridCol w:w="1027"/>
      </w:tblGrid>
      <w:tr w14:paraId="27C7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</w:trPr>
        <w:tc>
          <w:tcPr>
            <w:tcW w:w="55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BD03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考核大类</w:t>
            </w: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1F9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具体指标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1AA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量化标准与扣分依据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1825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政策法规依据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90F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标准</w:t>
            </w:r>
          </w:p>
          <w:p w14:paraId="5D821B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694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自查</w:t>
            </w:r>
          </w:p>
          <w:p w14:paraId="70AFE1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得分</w:t>
            </w: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851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检查</w:t>
            </w:r>
          </w:p>
          <w:p w14:paraId="64A22A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得分</w:t>
            </w: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622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备注</w:t>
            </w:r>
          </w:p>
        </w:tc>
      </w:tr>
      <w:tr w14:paraId="09FF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atLeast"/>
        </w:trPr>
        <w:tc>
          <w:tcPr>
            <w:tcW w:w="55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42B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14:paraId="5AE049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14:paraId="04521A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一、基本条件（10分）</w:t>
            </w: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FB3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证照资质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6DD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18"/>
                <w:szCs w:val="18"/>
              </w:rPr>
            </w:pPr>
          </w:p>
          <w:p w14:paraId="1437B1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依法取得许可证并备案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无证/过期/信息不符按规定扣分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9C0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《人力资源市场暂行</w:t>
            </w:r>
            <w:r>
              <w:rPr>
                <w:sz w:val="20"/>
                <w:szCs w:val="20"/>
              </w:rPr>
              <w:t>条例》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0B4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49C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B30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CF3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48F8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75A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A2E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年报公示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D3E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按时准确公示年报；逾期、虚假按程度扣分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C3C3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《企业信息公示暂行条例》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FAF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0DD7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AFF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8E75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1B0A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239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35E9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经营场所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B2DC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场所与备案一致、设施齐全；不符或缺失扣分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83B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兵团</w:t>
            </w:r>
            <w:r>
              <w:rPr>
                <w:rFonts w:ascii="Arial" w:hAnsi="Arial" w:cs="Arial"/>
                <w:sz w:val="20"/>
                <w:szCs w:val="20"/>
              </w:rPr>
              <w:t>人力资源市场管理规定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C6E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563A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6DF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F73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44D6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55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7F7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14:paraId="117C7C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14:paraId="16236E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14:paraId="084FBC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二、服务规范（20分）</w:t>
            </w: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3B8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信息公示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806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按规定公示服务、收费、监督电话等；缺项扣分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EE1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《人力资源市场暂行条例》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F9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F1A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2C5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8B2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6F9C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5B1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7476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就业信息合规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B38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信息真实合法无歧视；虚假、歧视、未审核扣分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30C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《人力资源市场暂行条例》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4F1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32D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EA7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5157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7254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C0A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9CCE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服务台账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E438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台账完整并保存2年以上；不全、未保存扣分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E35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《人力资源市场暂行条例》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A29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EB4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F77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471A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0960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CBF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E143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投诉处理</w:t>
            </w:r>
          </w:p>
        </w:tc>
        <w:tc>
          <w:tcPr>
            <w:tcW w:w="16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FCD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响应及时、办结率达标；超时、低办结率扣分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183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人力资源服务投诉处理规范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C61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887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00F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298F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6B52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</w:trPr>
        <w:tc>
          <w:tcPr>
            <w:tcW w:w="55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4A8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  <w:p w14:paraId="065735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三、内部管理（10分）</w:t>
            </w: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4260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规章制度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BC9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制度健全并执行；缺项、未执行扣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085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行业自律规范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FD4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12EB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5E6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D3E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6DA7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DF0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7C6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人员培训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2B7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培训次数、时长达标；无证、不足扣分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1996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从业人员管理要求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44E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54C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3879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DAB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747F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30E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A7D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档案管理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CD4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档案规范无丢失泄露；违规按次扣分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7C2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《档案法》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0CB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68A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B57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D89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</w:tr>
      <w:tr w14:paraId="37ED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</w:trPr>
        <w:tc>
          <w:tcPr>
            <w:tcW w:w="55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CDA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b/>
                <w:bCs/>
              </w:rPr>
            </w:pPr>
          </w:p>
          <w:p w14:paraId="3FFC47D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b/>
                <w:bCs/>
              </w:rPr>
            </w:pPr>
          </w:p>
          <w:p w14:paraId="39F02A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b/>
                <w:bCs/>
              </w:rPr>
              <w:t>四、信用状况（30分）</w:t>
            </w: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230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劳动保障合规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534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6D31C23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拖欠工资</w:t>
            </w:r>
            <w:r>
              <w:rPr>
                <w:sz w:val="20"/>
                <w:szCs w:val="20"/>
              </w:rPr>
              <w:t>、社保合规；违规按人次扣分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D449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sz w:val="20"/>
                <w:szCs w:val="20"/>
              </w:rPr>
              <w:t>《劳动法》《社会保险法》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046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10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713A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80E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B40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2338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31A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4A1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行政处罚记录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E979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2BE38F8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无行政处罚；警告、罚款、停业按档扣分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2B7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《行政处罚法》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807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12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8F5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49A8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6A7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3F78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C0F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4FF5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信贷纳税信用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F1E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541C87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无不良信贷、依法纳税；违规扣分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24F1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征信、税收管理规定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F58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C1C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6D9C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343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4C62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59C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BDA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行业自律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59D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454048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遵守公约、无投诉；违规、缺席扣分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A43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行业自律公约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BBE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A5F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E53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B1E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6F6C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75F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</w:rPr>
            </w:pPr>
          </w:p>
          <w:p w14:paraId="4AD96E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b/>
                <w:bCs/>
              </w:rPr>
              <w:t>五、服务业绩（15分）</w:t>
            </w: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DF0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服务规模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C7F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1A2B742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服务单位及人次达标；不足按比例扣分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CDFE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行业统计标准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437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5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242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95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F0B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51F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D3A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3171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1A23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2C0329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满意度达标；降低按比例扣分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788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第三方评价规范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E07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6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93B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919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D44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1628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5B1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0E16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服务质量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DD9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1C9D42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无查实投诉；有投诉按次扣分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A0B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行业服务质量标准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907E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6C8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D2C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8DF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7DDE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136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</w:rPr>
            </w:pPr>
          </w:p>
          <w:p w14:paraId="636F3C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b/>
                <w:bCs/>
              </w:rPr>
              <w:t>六、社会责任（10分）</w:t>
            </w: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2C3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公益服务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20E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2A348D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参与公益服务不少于1次；未参与扣分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DD3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行业社会责任指引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184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3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C2EF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7D9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8A8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61F9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8229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2C7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特殊群体就业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1AA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72D2D6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推荐特殊群体就业达标；不足扣分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096C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sz w:val="20"/>
                <w:szCs w:val="20"/>
              </w:rPr>
              <w:t>残疾人、退役军人相关法规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FAE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4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CEB8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77A6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C64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5C3C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585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E75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行业贡献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25E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729D3C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参与标准制定或获表彰；无贡献扣分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EA3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行业发展政策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543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3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BFC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07A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D38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67F7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5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DEE3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b/>
                <w:bCs/>
              </w:rPr>
              <w:t>七、合规经营（5分）</w:t>
            </w:r>
          </w:p>
        </w:tc>
        <w:tc>
          <w:tcPr>
            <w:tcW w:w="67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DF8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禁止性行为</w:t>
            </w:r>
          </w:p>
        </w:tc>
        <w:tc>
          <w:tcPr>
            <w:tcW w:w="14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466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无伪造许可证、违规派遣、押证收费等；有则扣分</w:t>
            </w:r>
          </w:p>
        </w:tc>
        <w:tc>
          <w:tcPr>
            <w:tcW w:w="98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8D3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sz w:val="20"/>
                <w:szCs w:val="20"/>
              </w:rPr>
              <w:t>《人力资源市场暂行条例》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007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5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5FB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4D9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1723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  <w:tr w14:paraId="77E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73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D41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b/>
                <w:bCs/>
              </w:rPr>
              <w:t>合 计</w:t>
            </w:r>
          </w:p>
        </w:tc>
        <w:tc>
          <w:tcPr>
            <w:tcW w:w="3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524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b/>
                <w:bCs/>
              </w:rPr>
              <w:t>100</w:t>
            </w:r>
          </w:p>
        </w:tc>
        <w:tc>
          <w:tcPr>
            <w:tcW w:w="31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67CA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26D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3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E9F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</w:tr>
    </w:tbl>
    <w:p w14:paraId="623D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BF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7453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1E7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4083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4083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18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5AB9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5AB9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4B66"/>
    <w:rsid w:val="002410F1"/>
    <w:rsid w:val="00953D9C"/>
    <w:rsid w:val="03280EF8"/>
    <w:rsid w:val="06DC21F1"/>
    <w:rsid w:val="09B2776D"/>
    <w:rsid w:val="15EE5FD1"/>
    <w:rsid w:val="20214A9D"/>
    <w:rsid w:val="206155F1"/>
    <w:rsid w:val="24661428"/>
    <w:rsid w:val="24B623B0"/>
    <w:rsid w:val="26FE3B9A"/>
    <w:rsid w:val="271C4B66"/>
    <w:rsid w:val="2BF77A2F"/>
    <w:rsid w:val="2CA174A1"/>
    <w:rsid w:val="2F725125"/>
    <w:rsid w:val="311F12DD"/>
    <w:rsid w:val="31B41A25"/>
    <w:rsid w:val="324C6101"/>
    <w:rsid w:val="36B83D65"/>
    <w:rsid w:val="3D94095C"/>
    <w:rsid w:val="40477F08"/>
    <w:rsid w:val="40B82BB4"/>
    <w:rsid w:val="42D238B4"/>
    <w:rsid w:val="444C3D3F"/>
    <w:rsid w:val="466E7B5E"/>
    <w:rsid w:val="48354B39"/>
    <w:rsid w:val="489615C9"/>
    <w:rsid w:val="506D0434"/>
    <w:rsid w:val="50AE4946"/>
    <w:rsid w:val="53645E15"/>
    <w:rsid w:val="548A71FF"/>
    <w:rsid w:val="55DC71EC"/>
    <w:rsid w:val="56FF3341"/>
    <w:rsid w:val="576176AA"/>
    <w:rsid w:val="57E12A00"/>
    <w:rsid w:val="59E940B2"/>
    <w:rsid w:val="5A0507C0"/>
    <w:rsid w:val="5D7A3273"/>
    <w:rsid w:val="5FB567E4"/>
    <w:rsid w:val="61673002"/>
    <w:rsid w:val="636429FB"/>
    <w:rsid w:val="63936E3D"/>
    <w:rsid w:val="64340620"/>
    <w:rsid w:val="65C459D3"/>
    <w:rsid w:val="65E92BBF"/>
    <w:rsid w:val="66C24F8B"/>
    <w:rsid w:val="66CC2D91"/>
    <w:rsid w:val="66CD4D5B"/>
    <w:rsid w:val="68C93F56"/>
    <w:rsid w:val="6AE61F48"/>
    <w:rsid w:val="71E371E1"/>
    <w:rsid w:val="72536115"/>
    <w:rsid w:val="750556C0"/>
    <w:rsid w:val="78AD0549"/>
    <w:rsid w:val="7A3A332A"/>
    <w:rsid w:val="7A4D56AD"/>
    <w:rsid w:val="7D012C11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1821</Words>
  <Characters>1919</Characters>
  <Lines>0</Lines>
  <Paragraphs>0</Paragraphs>
  <TotalTime>96</TotalTime>
  <ScaleCrop>false</ScaleCrop>
  <LinksUpToDate>false</LinksUpToDate>
  <CharactersWithSpaces>1921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2026-03-02T02:22:00Z</dcterms:created>
  <dc:creator>赵国斌</dc:creator>
  <cp:lastModifiedBy>kop</cp:lastModifiedBy>
  <cp:lastPrinted>2026-03-24T02:56:35Z</cp:lastPrinted>
  <dcterms:modified xsi:type="dcterms:W3CDTF">2026-03-24T02:59:36Z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FD0C0BB9917142A49D75FCE4378903DA_13</vt:lpwstr>
  </property>
  <property fmtid="{D5CDD505-2E9C-101B-9397-08002B2CF9AE}" pid="4" name="KSOTemplateDocerSaveRecord">
    <vt:lpwstr>eyJoZGlkIjoiNjkxY2QyZTg0YTJkZWY5ZmQ4N2U2NDIxODM3OWI5NjgiLCJ1c2VySWQiOiI0NDE4NTAwNjQifQ==</vt:lpwstr>
  </property>
</Properties>
</file>