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BC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Regular" w:hAnsi="Times New Roman Regular" w:eastAsia="方正小标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sz w:val="32"/>
          <w:szCs w:val="32"/>
          <w:lang w:val="en-US" w:eastAsia="zh-CN"/>
        </w:rPr>
        <w:t>附件2</w:t>
      </w:r>
    </w:p>
    <w:p w14:paraId="11E7E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 w14:paraId="7397F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</w:rPr>
        <w:t>第三师图木舒克市政府投资项目代建制</w:t>
      </w:r>
    </w:p>
    <w:p w14:paraId="5D1B1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</w:rPr>
        <w:t>管理办法（</w:t>
      </w:r>
      <w:r>
        <w:rPr>
          <w:rFonts w:hint="eastAsia" w:ascii="Times New Roman" w:hAnsi="Times New Roman" w:eastAsia="方正小标宋简体" w:cs="Times New Roman"/>
          <w:sz w:val="44"/>
          <w:szCs w:val="52"/>
          <w:lang w:val="en-US" w:eastAsia="zh-CN"/>
        </w:rPr>
        <w:t>征求意见稿</w:t>
      </w:r>
      <w:r>
        <w:rPr>
          <w:rFonts w:hint="default" w:ascii="Times New Roman" w:hAnsi="Times New Roman" w:eastAsia="方正小标宋简体" w:cs="Times New Roman"/>
          <w:sz w:val="44"/>
          <w:szCs w:val="52"/>
        </w:rPr>
        <w:t>）</w:t>
      </w:r>
    </w:p>
    <w:p w14:paraId="459E1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 w14:paraId="13C72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第一条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为提高第三师图木舒克市政府投资建设项目管理水平和投资效益，根据《政府投资条例》《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中华人民共和国政府采购法</w:t>
      </w:r>
      <w:r>
        <w:rPr>
          <w:rFonts w:hint="default" w:ascii="Times New Roman" w:hAnsi="Times New Roman" w:eastAsia="仿宋_GB2312" w:cs="Times New Roman"/>
          <w:sz w:val="32"/>
          <w:szCs w:val="40"/>
        </w:rPr>
        <w:t>》《新疆生产建设兵团政府投资建设项目代建制管理暂行办法》《基本建设项目建设成本管理规定》（财建〔2016〕504号）等有关规定，结合师市实际，制定本办法。</w:t>
      </w:r>
    </w:p>
    <w:p w14:paraId="1EB6A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第二条</w:t>
      </w: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本办法所称的政府投资建设项目代理建设制度（以下简称代建制），是指政府投资建设项目（法人）单位按照法定程序，将政府投资建设项目的组织、管理、策划和实施，委托专业工程管理单位（以下简称代建单位）具体负责的一种项目管理制度。</w:t>
      </w:r>
    </w:p>
    <w:p w14:paraId="27855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40"/>
        </w:rPr>
        <w:t> 对于政府投资建设项目（法人）单位缺乏相关专业技术人员和建设管理经验的政府投资项目，按照本办法规定可实行代建。实行代建的项目主要包括：社会公益服务、公共基础设施、农业农村、生态环境保护、重大科技进步和社会管理等公共领域的项目，涉及国家安全、国家秘密、应对突发事件或者具有特殊专业技术要求的除外。</w:t>
      </w:r>
    </w:p>
    <w:p w14:paraId="2B562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第四条</w:t>
      </w: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政府投资建设项目（法人）单位或行业主管部门负责代建组织实施和具体管理工作。发改、财政、住建、水利、交通、审计等部门按照各自职责，负责代建制实施的有关监督管理工作。</w:t>
      </w:r>
    </w:p>
    <w:p w14:paraId="4B384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第五条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政府投资建设项目（法人）单位完成项目建议书编制并获得批准后，按照《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中华人民共和国政府采购法</w:t>
      </w:r>
      <w:r>
        <w:rPr>
          <w:rFonts w:hint="default" w:ascii="Times New Roman" w:hAnsi="Times New Roman" w:eastAsia="仿宋_GB2312" w:cs="Times New Roman"/>
          <w:sz w:val="32"/>
          <w:szCs w:val="40"/>
        </w:rPr>
        <w:t>》等法律法规确定第三方代建单位，行使代建职责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应当具备下列条件：具有独立的法人资格；具有与承担代建责任相适应的资金、组织机构和项目管理能力；具有良好的资信水平，代建单位及其主要负责人近三年内无不良信用记录等。第三方代建单位还应具有甲级工程咨询、甲级工程设计、甲级监理、本专业施工总承包一级及一级以上等资质之一。</w:t>
      </w:r>
    </w:p>
    <w:p w14:paraId="72E08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第六条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确定后，政府投资建设项目（法人）单位和代建单位应当订立书面合同，合同应报项目行业主管部门审核后签订。合同应约定代建项目的范围、形式，明确双方的权利和义务、违约责任、代建管理费金额、支付节点、绩效考核、奖惩事项等内容。代建合同应当经过公证机构的公证，公证费用由政府投资建设项目（法人）单位和代建单位约定支付。</w:t>
      </w:r>
    </w:p>
    <w:p w14:paraId="07E49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第七条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政府投资建设项目（法人）单位应当履行下列责任：组织编报项目建议书、项目可行性研究报告、项目初步设计文件；负责自筹资金的筹措；依法依规落实项目资金来源和偿债责任，严控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政府隐性债务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增量；监督工程是否按批准的建设内容和投资规模建设，是否存在涉及工程的重大变动和投资规模的变更，对工程进度、质量、安全等进行督查指导，参与工程验收，负责办理不动产证。</w:t>
      </w:r>
    </w:p>
    <w:p w14:paraId="740C3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第八条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代建单位应当履行下列责任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会同政府投资建设项目（法人）单位组织编报项目可行性研究报告（含用地、环评、能评、矿产压覆等）、项目初步设计文件；办理项目规划许可、施工图设计文件审查、预算编制、财审、施工许可、质量监督、竣工验收备案等手续；组织实施项目勘察、设计、监理、施工单位和主要材料、设备采购等招标工作；负责项目施工、采购等合同的签订和管理工作；对工程的安全、质量、进度等进行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理和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控制；根据批准的建设规模和总投资额，按规定程序报批申请拨款；按规定向政府投资建设项目（法人）单位及项目行业主管部门报送项目进度、工程质量、资金使用等报表、资料；组织编制工程结算、项目竣工财务决算；组织项目分部、单位、专项验收，负责项目竣工验收工作；整理、汇编并向政府投资建设项目（法人）单位移交工程建设资料、档案等。</w:t>
      </w:r>
    </w:p>
    <w:p w14:paraId="65960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第九条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代建单位不得在自己代建的项目中，承担勘察、设计、施工、监理等工作；不得与投标单位有隶属关系或者其他利害关系；不得将代建工作转由其他单位承担。</w:t>
      </w:r>
    </w:p>
    <w:p w14:paraId="04629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代建项目可以采取全过程代建，也可以采取前期工作代理或者建设实施代建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采取全过程代建的，代建责任自项目建议书获得批准之日开始至项目保修期终结；采取前期工作代理的，代理责任为组织项目可行性研究报告、初步设计的编制；采取建设实施代建的，代建责任自初步设计的组织实施开始至项目保修期终结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原则上师市政府投资项目代建方式以建设实施代建为主，政府投资建设项目（法人）单位在代建期间履行管理监督责任，督促代建单位依法合规开展工作，并承担相应的项目建设主体责任。代建单位在代建责任期间，应当承担相应的法律责任。</w:t>
      </w:r>
    </w:p>
    <w:p w14:paraId="6EA93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第十一条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代建单位应当按照代建合同约定的建设规模、建设标准、建设内容和概算投资进行建设管理，控制项目总投资额，确保工程质量安全和工期。</w:t>
      </w:r>
    </w:p>
    <w:p w14:paraId="174D1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第十二条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代建项目实行履约保证金制度，具体事宜由政府投资建设项目（法人）单位、代建单位在代建合同中约定。</w:t>
      </w:r>
    </w:p>
    <w:p w14:paraId="13BA8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第十三条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代建单位应当根据所实施的代建组织形式，定期向政府投资建设项目（法人）单位报送项目进度情况，再由政府投资建设项目（法人）单位将项目进度的相关情况和问题汇总整理后报有关部门。</w:t>
      </w:r>
    </w:p>
    <w:p w14:paraId="4A79D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第十四条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代建单位应当严格按照批准的建设内容负责项目建设方案，实行限额设计，设计预算不得超过批准的设计概算。在建设实施过程中，不得擅自变更设计方案，变更时必须经项目法人单位或投资主管部门批准。</w:t>
      </w:r>
    </w:p>
    <w:p w14:paraId="326BC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第十五条</w:t>
      </w: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项目建成后，应当按照国家有关规定和代建合同约定进行竣工验收；经验收合格的，方可交付使用。政府投资建设项目（法人）单位应当对代建项目进度、工程质量、资金使用等实施监督，并参与工程竣工验收。</w:t>
      </w:r>
    </w:p>
    <w:p w14:paraId="7A1DB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第十六条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代建单位应当按照下列规定向政府投资建设项目（法人）单位履行代建项目交付责任：</w:t>
      </w:r>
    </w:p>
    <w:p w14:paraId="40EE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（一）实行前期工作代理的，自项目初步设计获得批准之日起30日内，移交项目前期代理工作全部资料；</w:t>
      </w:r>
    </w:p>
    <w:p w14:paraId="6291F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（二）实行全过程代建或者建设实施代建的，自项目竣工验收合格之日起90日内，按照核准的资产价值办理资产移交手续和代建工作全部资料。</w:t>
      </w:r>
    </w:p>
    <w:p w14:paraId="7F08A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第十七条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代建单位应当对项目筹划、建设等各个环节的文件资料进行收集、分类、整理、归档，并在办理项目资产移交手续时，一并向政府投资建设项目（法人）单位移交工程档案、财务档案及相关资料。</w:t>
      </w:r>
    </w:p>
    <w:p w14:paraId="0E19A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第十八条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府设立（或授权）、政府招标产生的代建制项目，代建管理费由师市财政部门根据代建内容、代建范围、代建模式，按照不高于财建〔2016〕504号规定的项目建设管理费标准核定，计入项目建设成本。实行代建制管理的项目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一般不得同时列支代建管理费和项目建设管理费；确需同时发生两项费用的，代建管理费与项目建设管理费之和不得高于财建〔2016〕504号规定的项目建设管理费限额。</w:t>
      </w:r>
    </w:p>
    <w:p w14:paraId="3444D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项目建设管理费计费基数，以项目审批部门批准的项目总投资（经批准动态投资，不含项目建设管理费），扣除土地征用、迁移补偿等为取得或租用土地使用权而发生的费用，按照超额累进方式计算，具体费率及计算示例见本办法附件。</w:t>
      </w:r>
    </w:p>
    <w:p w14:paraId="07421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代建管理费由项目（法人）单位按照国库集中支付制度有关规定以及代建合同约定，综合考虑项目财政资金预算、建设进度、代建绩效，一次性或者分年度拨付代建单位统筹使用。代建管理费核定、支付应当与工程进度、建设质量、投资控制成效挂钩，实行奖优罚劣。同时满足按时完成代建任务、工程质量优良、项目投资控制在批准概算总投资范围三个条件的，可按规定支付代建奖励资金，奖励资金一般不超过核定代建管理费的10%，使用财政资金支付奖励应当事前报师市财政部门审核批准；未完成代建任务、投资超概、出现质量安全问题的，按合同约定扣减代建管理费。</w:t>
      </w:r>
    </w:p>
    <w:p w14:paraId="045D9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建设地点分散、点多面广、建设工期长以及使用新技术新工艺的项目，代建管理费确需超过本办法规定标准的，应当事前报师市财政部门审核批准；未经批准，超标准部分不予支付。</w:t>
      </w:r>
    </w:p>
    <w:p w14:paraId="7D6C2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40"/>
        </w:rPr>
        <w:t>第十九条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严格执行国家和兵团建设项目财务会计制度，单独建账核算，保证建设资金的安全使用，符合在线监管要求的政府投资建设项目，应按规定纳入在线监控；项目资金按照国家、兵团政府投资建设项目相关财务管理规定实行专款专用。</w:t>
      </w:r>
    </w:p>
    <w:p w14:paraId="48707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40"/>
        </w:rPr>
        <w:t>第二十条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代建单位因管理不善或擅自变更建设规模、建设标准、建设内容和概算投资的，造成的损失或者增加的投资由代建单位以履约保证金补偿；履约保证金不足的，扣减代建项目管理费；代建项目管理费不足的，以代建单位自有资金支付。代建单位构成前款所列情形之一的，三年内不得参与师市政府投资建设项目代建活动。</w:t>
      </w:r>
    </w:p>
    <w:p w14:paraId="5773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40"/>
        </w:rPr>
        <w:t>第二十一条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实行代建制建设的项目按照本办法执行，本办法自公布之日起施行。</w:t>
      </w:r>
    </w:p>
    <w:p w14:paraId="6D5CD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19F89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33B06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50171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496F2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 w14:paraId="6B717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项目建设管理费（代建管理费上限）超额累进费率及计算示例</w:t>
      </w:r>
    </w:p>
    <w:p w14:paraId="55F19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6"/>
        <w:tblW w:w="132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2480"/>
        <w:gridCol w:w="7627"/>
      </w:tblGrid>
      <w:tr w14:paraId="7EA71F8B">
        <w:trPr>
          <w:trHeight w:val="1033" w:hRule="atLeast"/>
        </w:trPr>
        <w:tc>
          <w:tcPr>
            <w:tcW w:w="3130" w:type="dxa"/>
            <w:vAlign w:val="center"/>
          </w:tcPr>
          <w:p w14:paraId="0062A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  <w:t>计费基数</w:t>
            </w:r>
          </w:p>
          <w:p w14:paraId="37086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2480" w:type="dxa"/>
            <w:vAlign w:val="center"/>
          </w:tcPr>
          <w:p w14:paraId="465F2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  <w:t>累进费率</w:t>
            </w:r>
          </w:p>
          <w:p w14:paraId="07087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  <w:t>（%）</w:t>
            </w:r>
          </w:p>
        </w:tc>
        <w:tc>
          <w:tcPr>
            <w:tcW w:w="7627" w:type="dxa"/>
            <w:vAlign w:val="center"/>
          </w:tcPr>
          <w:p w14:paraId="7D1DF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  <w:t>计算示例</w:t>
            </w:r>
          </w:p>
          <w:p w14:paraId="266F1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40"/>
                <w:vertAlign w:val="baseline"/>
                <w:lang w:val="en-US" w:eastAsia="zh-CN"/>
              </w:rPr>
              <w:t>（万元）</w:t>
            </w:r>
          </w:p>
        </w:tc>
      </w:tr>
      <w:tr w14:paraId="25D65B5E">
        <w:trPr>
          <w:trHeight w:val="740" w:hRule="atLeast"/>
        </w:trPr>
        <w:tc>
          <w:tcPr>
            <w:tcW w:w="3130" w:type="dxa"/>
            <w:vAlign w:val="center"/>
          </w:tcPr>
          <w:p w14:paraId="62F98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1000及以下</w:t>
            </w:r>
          </w:p>
        </w:tc>
        <w:tc>
          <w:tcPr>
            <w:tcW w:w="2480" w:type="dxa"/>
            <w:vAlign w:val="center"/>
          </w:tcPr>
          <w:p w14:paraId="789CC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2.00%</w:t>
            </w:r>
          </w:p>
        </w:tc>
        <w:tc>
          <w:tcPr>
            <w:tcW w:w="7627" w:type="dxa"/>
            <w:vAlign w:val="center"/>
          </w:tcPr>
          <w:p w14:paraId="17244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基数1000：1000×2%＝20</w:t>
            </w:r>
          </w:p>
        </w:tc>
      </w:tr>
      <w:tr w14:paraId="66374F6D">
        <w:trPr>
          <w:trHeight w:val="767" w:hRule="atLeast"/>
        </w:trPr>
        <w:tc>
          <w:tcPr>
            <w:tcW w:w="3130" w:type="dxa"/>
            <w:vAlign w:val="center"/>
          </w:tcPr>
          <w:p w14:paraId="3E933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1001-5000</w:t>
            </w:r>
          </w:p>
        </w:tc>
        <w:tc>
          <w:tcPr>
            <w:tcW w:w="2480" w:type="dxa"/>
            <w:vAlign w:val="center"/>
          </w:tcPr>
          <w:p w14:paraId="37FA3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1.50%</w:t>
            </w:r>
          </w:p>
        </w:tc>
        <w:tc>
          <w:tcPr>
            <w:tcW w:w="7627" w:type="dxa"/>
            <w:vAlign w:val="center"/>
          </w:tcPr>
          <w:p w14:paraId="4CBAA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基数5000：20＋(5000-1000)×1.5%＝80</w:t>
            </w:r>
          </w:p>
        </w:tc>
      </w:tr>
      <w:tr w14:paraId="31EB1F36">
        <w:trPr>
          <w:trHeight w:val="727" w:hRule="atLeast"/>
        </w:trPr>
        <w:tc>
          <w:tcPr>
            <w:tcW w:w="3130" w:type="dxa"/>
            <w:vAlign w:val="center"/>
          </w:tcPr>
          <w:p w14:paraId="4F91B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5001-10000</w:t>
            </w:r>
          </w:p>
        </w:tc>
        <w:tc>
          <w:tcPr>
            <w:tcW w:w="2480" w:type="dxa"/>
            <w:vAlign w:val="center"/>
          </w:tcPr>
          <w:p w14:paraId="0F702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1.20%</w:t>
            </w:r>
          </w:p>
        </w:tc>
        <w:tc>
          <w:tcPr>
            <w:tcW w:w="7627" w:type="dxa"/>
            <w:vAlign w:val="center"/>
          </w:tcPr>
          <w:p w14:paraId="3CDFC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基数10000：80＋(10000-5000)×1.2%＝140</w:t>
            </w:r>
          </w:p>
        </w:tc>
      </w:tr>
      <w:tr w14:paraId="24350FCF">
        <w:trPr>
          <w:trHeight w:val="907" w:hRule="atLeast"/>
        </w:trPr>
        <w:tc>
          <w:tcPr>
            <w:tcW w:w="3130" w:type="dxa"/>
            <w:vAlign w:val="center"/>
          </w:tcPr>
          <w:p w14:paraId="75385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10001-50000</w:t>
            </w:r>
          </w:p>
        </w:tc>
        <w:tc>
          <w:tcPr>
            <w:tcW w:w="2480" w:type="dxa"/>
            <w:vAlign w:val="center"/>
          </w:tcPr>
          <w:p w14:paraId="396E8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1.00%</w:t>
            </w:r>
          </w:p>
        </w:tc>
        <w:tc>
          <w:tcPr>
            <w:tcW w:w="7627" w:type="dxa"/>
            <w:shd w:val="clear" w:color="auto" w:fill="auto"/>
            <w:vAlign w:val="center"/>
          </w:tcPr>
          <w:p w14:paraId="4F362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基数50000：140＋(50000-10000)×1%＝540</w:t>
            </w:r>
          </w:p>
        </w:tc>
      </w:tr>
      <w:tr w14:paraId="13B71E75">
        <w:trPr>
          <w:trHeight w:val="713" w:hRule="atLeast"/>
        </w:trPr>
        <w:tc>
          <w:tcPr>
            <w:tcW w:w="3130" w:type="dxa"/>
            <w:vAlign w:val="center"/>
          </w:tcPr>
          <w:p w14:paraId="797B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50001-100000</w:t>
            </w:r>
          </w:p>
        </w:tc>
        <w:tc>
          <w:tcPr>
            <w:tcW w:w="2480" w:type="dxa"/>
            <w:vAlign w:val="center"/>
          </w:tcPr>
          <w:p w14:paraId="428F3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0.80%</w:t>
            </w:r>
          </w:p>
        </w:tc>
        <w:tc>
          <w:tcPr>
            <w:tcW w:w="7627" w:type="dxa"/>
            <w:vAlign w:val="center"/>
          </w:tcPr>
          <w:p w14:paraId="6E703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基数100000：540＋(100000-50000)×0.8%＝940</w:t>
            </w:r>
          </w:p>
        </w:tc>
      </w:tr>
      <w:tr w14:paraId="437FE756">
        <w:trPr>
          <w:trHeight w:val="870" w:hRule="atLeast"/>
        </w:trPr>
        <w:tc>
          <w:tcPr>
            <w:tcW w:w="3130" w:type="dxa"/>
            <w:vAlign w:val="center"/>
          </w:tcPr>
          <w:p w14:paraId="469BA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100000以上</w:t>
            </w:r>
          </w:p>
        </w:tc>
        <w:tc>
          <w:tcPr>
            <w:tcW w:w="2480" w:type="dxa"/>
            <w:vAlign w:val="center"/>
          </w:tcPr>
          <w:p w14:paraId="5A39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0.40%</w:t>
            </w:r>
          </w:p>
        </w:tc>
        <w:tc>
          <w:tcPr>
            <w:tcW w:w="7627" w:type="dxa"/>
            <w:vAlign w:val="center"/>
          </w:tcPr>
          <w:p w14:paraId="6ABE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基数200000：940＋(200000-100000)×0.4%＝1340</w:t>
            </w:r>
          </w:p>
        </w:tc>
      </w:tr>
    </w:tbl>
    <w:p w14:paraId="442AC819">
      <w:pPr>
        <w:rPr>
          <w:rFonts w:hint="default" w:ascii="Times New Roman" w:hAnsi="Times New Roman" w:eastAsia="宋体" w:cs="Times New Roman"/>
          <w:sz w:val="24"/>
          <w:szCs w:val="24"/>
        </w:rPr>
      </w:pPr>
    </w:p>
    <w:sectPr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D5C2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8CAB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8CAB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03E77"/>
    <w:rsid w:val="0EF83E74"/>
    <w:rsid w:val="14551D69"/>
    <w:rsid w:val="18A706B9"/>
    <w:rsid w:val="24BC729A"/>
    <w:rsid w:val="6A964B0D"/>
    <w:rsid w:val="70C525FF"/>
    <w:rsid w:val="D1BFE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ba03580e-c388-4999-bda6-31909dcb0f26</errorID>
      <errorWord>政府采购法</errorWord>
      <group>L1_Knowledge</group>
      <groupName>知识性问题</groupName>
      <ability>L2_Knowledge</ability>
      <abilityName>其他知识</abilityName>
      <candidateList>
        <item>中华人民共和国政府采购法</item>
      </candidateList>
      <explain>当前法律法规名称使用简称，请注意是否应当使用全称。</explain>
      <paraID>13C7219D</paraID>
      <start>44</start>
      <end>56</end>
      <status>modified</status>
      <modifiedWord>中华人民共和国政府采购法</modifiedWord>
      <trackRevisions>false</trackRevisions>
    </reviewItem>
    <reviewItem>
      <errorID>67f1a224-163c-4f47-9a68-7294dd61f8f0</errorID>
      <errorWord>政府采购法</errorWord>
      <group>L1_Knowledge</group>
      <groupName>知识性问题</groupName>
      <ability>L2_Knowledge</ability>
      <abilityName>其他知识</abilityName>
      <candidateList>
        <item>中华人民共和国政府采购法</item>
      </candidateList>
      <explain>当前法律法规名称使用简称，请注意是否应当使用全称。</explain>
      <paraID>4B3849E9</paraID>
      <start>37</start>
      <end>49</end>
      <status>modified</status>
      <modifiedWord>中华人民共和国政府采购法</modifiedWord>
      <trackRevisions>false</trackRevisions>
    </reviewItem>
    <reviewItem>
      <errorID>dea5d022-1d8f-4236-94b0-fa1554ad99cd</errorID>
      <errorWord>理</errorWord>
      <group>L1_Word</group>
      <groupName>字词问题</groupName>
      <ability>L2_Typo</ability>
      <abilityName>字词错误</abilityName>
      <candidateList>
        <item>理和</item>
      </candidateList>
      <explain/>
      <paraID>740C3393</paraID>
      <start>192</start>
      <end>194</end>
      <status>modified</status>
      <modifiedWord>理和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e826b3-d504-4d7b-b219-15d887f18f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2026-09-09T18:38:00Z</dcterms:created>
  <dc:creator>Administration</dc:creator>
  <cp:lastModifiedBy>盖子</cp:lastModifiedBy>
  <dcterms:modified xsi:type="dcterms:W3CDTF">2026-09-10T13:23:52Z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KSOTemplateDocerSaveRecord">
    <vt:lpwstr>eyJoZGlkIjoiZjg0NzZkYTU0YzFiMjJmMjM4NWFkYmQ5ZTFjN2QwYzQiLCJ1c2VySWQiOiIyNjA5NjI0ODQifQ==</vt:lpwstr>
  </property>
  <property fmtid="{D5CDD505-2E9C-101B-9397-08002B2CF9AE}" pid="4" name="ICV">
    <vt:lpwstr>D212D554F5194373A5D0D8FE285FB143_12</vt:lpwstr>
  </property>
</Properties>
</file>