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43"/>
        <w:gridCol w:w="5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30" w:hRule="atLeast"/>
        </w:trPr>
        <w:tc>
          <w:tcPr>
            <w:tcW w:w="906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98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vertAlign w:val="baseline"/>
                <w:lang w:val="en-US" w:eastAsia="zh-CN"/>
              </w:rPr>
              <w:t>行政处罚事项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行政处罚决定书文号</w:t>
            </w:r>
          </w:p>
        </w:tc>
        <w:tc>
          <w:tcPr>
            <w:tcW w:w="59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lang w:val="en-US" w:eastAsia="zh-CN"/>
              </w:rPr>
              <w:t>三师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</w:rPr>
              <w:t>）应急罚〔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lang w:val="en-US" w:eastAsia="zh-CN"/>
              </w:rPr>
              <w:t>2026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</w:rPr>
              <w:t>〕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lang w:val="en-US" w:eastAsia="zh-CN"/>
              </w:rPr>
              <w:t>00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</w:rPr>
              <w:t>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处罚类别</w:t>
            </w:r>
          </w:p>
        </w:tc>
        <w:tc>
          <w:tcPr>
            <w:tcW w:w="59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罚款人民币5000元（大写：伍仟元整）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处罚依据</w:t>
            </w:r>
          </w:p>
        </w:tc>
        <w:tc>
          <w:tcPr>
            <w:tcW w:w="59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u w:val="none"/>
              </w:rPr>
              <w:t>《中华人民共和国安全生产法》第九十七条第七项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被处罚单位</w:t>
            </w:r>
          </w:p>
        </w:tc>
        <w:tc>
          <w:tcPr>
            <w:tcW w:w="59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新疆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扬子江纺织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处罚决定日期</w:t>
            </w:r>
          </w:p>
        </w:tc>
        <w:tc>
          <w:tcPr>
            <w:tcW w:w="59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2026年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23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59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新疆生产建设兵团第三师应急管理局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公示截止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时间</w:t>
            </w:r>
          </w:p>
        </w:tc>
        <w:tc>
          <w:tcPr>
            <w:tcW w:w="59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7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22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认定的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违法事实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及处罚依据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56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lang w:val="en-US" w:eastAsia="zh-CN"/>
              </w:rPr>
              <w:t>2026年4月10日，我局行政执法人员在对新疆扬子江纺织有限公司进行检查时，发现该公司正在从事焊接与热切割特种作业人员苏会强（身份证号：610324196904060515）未经过培训取得特种作业人员资格无证从事焊接作业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560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lang w:val="en-US" w:eastAsia="zh-CN"/>
              </w:rPr>
              <w:t>以上行为违反了《中华人民共和国安全生产法》第三十条第一款、《特种作业人员安全技术培训考核管理规定》第二十六条第二款；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</w:rPr>
              <w:t>依据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lang w:eastAsia="zh-CN"/>
              </w:rPr>
              <w:t>《中华人民共和国安全生产法》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</w:rPr>
              <w:t>第九十七条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lang w:eastAsia="zh-CN"/>
              </w:rPr>
              <w:t>第七项、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lang w:val="en-US" w:eastAsia="zh-CN"/>
              </w:rPr>
              <w:t>参照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</w:rPr>
              <w:t>《应急管理行政处罚裁量权基准》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lang w:val="en-US" w:eastAsia="zh-CN"/>
              </w:rPr>
              <w:t>裁量细则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</w:rPr>
              <w:t>第26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lang w:val="en-US" w:eastAsia="zh-CN"/>
              </w:rPr>
              <w:t>条A档，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新疆生产建设兵团第三师应急管理局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lang w:val="en-US" w:eastAsia="zh-CN"/>
              </w:rPr>
              <w:t>决定对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vertAlign w:val="baseline"/>
                <w:lang w:val="en-US" w:eastAsia="zh-CN"/>
              </w:rPr>
              <w:t>新疆新禾布业有限公司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u w:val="none"/>
                <w:lang w:val="en-US" w:eastAsia="zh-CN"/>
              </w:rPr>
              <w:t>的违法行为作出罚款5000元（大写：伍仟元整）的行政处罚。</w:t>
            </w:r>
          </w:p>
        </w:tc>
      </w:tr>
    </w:tbl>
    <w:p/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6017FE"/>
    <w:rsid w:val="13650BFC"/>
    <w:rsid w:val="1EC47087"/>
    <w:rsid w:val="2BB54D99"/>
    <w:rsid w:val="40AF67C1"/>
    <w:rsid w:val="46276E14"/>
    <w:rsid w:val="705C3256"/>
    <w:rsid w:val="7EDB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2025-08-27T09:03:00Z</dcterms:created>
  <dc:creator>208</dc:creator>
  <cp:lastModifiedBy>208</cp:lastModifiedBy>
  <cp:lastPrinted>2026-04-28T04:55:00Z</cp:lastPrinted>
  <dcterms:modified xsi:type="dcterms:W3CDTF">2026-04-29T03:17:06Z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2052-11.8.2.12011</vt:lpwstr>
  </property>
  <property fmtid="{D5CDD505-2E9C-101B-9397-08002B2CF9AE}" pid="3" name="ICV">
    <vt:lpwstr>E9DB740AAFFC4787B36DA4194BED6AEB</vt:lpwstr>
  </property>
</Properties>
</file>