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B6AA1">
      <w:pPr>
        <w:jc w:val="center"/>
        <w:rPr>
          <w:rFonts w:hint="eastAsia" w:ascii="仿宋_GB2312" w:hAnsi="仿宋_GB2312" w:eastAsia="仿宋_GB2312" w:cs="仿宋_GB2312"/>
          <w:b/>
          <w:bCs/>
          <w:i w:val="0"/>
          <w:iCs w:val="0"/>
          <w:caps w:val="0"/>
          <w:color w:val="auto"/>
          <w:spacing w:val="0"/>
          <w:sz w:val="44"/>
          <w:szCs w:val="44"/>
          <w:shd w:val="clear" w:fill="FFFFFF"/>
        </w:rPr>
      </w:pPr>
      <w:r>
        <w:rPr>
          <w:rFonts w:hint="eastAsia" w:ascii="仿宋_GB2312" w:hAnsi="仿宋_GB2312" w:eastAsia="仿宋_GB2312" w:cs="仿宋_GB2312"/>
          <w:b/>
          <w:bCs/>
          <w:i w:val="0"/>
          <w:iCs w:val="0"/>
          <w:caps w:val="0"/>
          <w:color w:val="auto"/>
          <w:spacing w:val="0"/>
          <w:sz w:val="44"/>
          <w:szCs w:val="44"/>
          <w:shd w:val="clear" w:fill="FFFFFF"/>
          <w:lang w:val="en-US" w:eastAsia="zh-CN"/>
        </w:rPr>
        <w:t>喀什</w:t>
      </w:r>
      <w:r>
        <w:rPr>
          <w:rFonts w:hint="eastAsia" w:ascii="仿宋_GB2312" w:hAnsi="仿宋_GB2312" w:eastAsia="仿宋_GB2312" w:cs="仿宋_GB2312"/>
          <w:b/>
          <w:bCs/>
          <w:i w:val="0"/>
          <w:iCs w:val="0"/>
          <w:caps w:val="0"/>
          <w:color w:val="auto"/>
          <w:spacing w:val="0"/>
          <w:sz w:val="44"/>
          <w:szCs w:val="44"/>
          <w:shd w:val="clear" w:fill="FFFFFF"/>
        </w:rPr>
        <w:t>经济开发区兵团分区自然资源和</w:t>
      </w:r>
    </w:p>
    <w:p w14:paraId="64754036">
      <w:pPr>
        <w:jc w:val="center"/>
        <w:rPr>
          <w:rFonts w:hint="eastAsia" w:ascii="仿宋_GB2312" w:hAnsi="仿宋_GB2312" w:eastAsia="仿宋_GB2312" w:cs="仿宋_GB2312"/>
          <w:b/>
          <w:bCs/>
          <w:i w:val="0"/>
          <w:iCs w:val="0"/>
          <w:caps w:val="0"/>
          <w:color w:val="auto"/>
          <w:spacing w:val="0"/>
          <w:sz w:val="44"/>
          <w:szCs w:val="44"/>
          <w:shd w:val="clear" w:fill="FFFFFF"/>
        </w:rPr>
      </w:pPr>
      <w:r>
        <w:rPr>
          <w:rFonts w:hint="eastAsia" w:ascii="仿宋_GB2312" w:hAnsi="仿宋_GB2312" w:eastAsia="仿宋_GB2312" w:cs="仿宋_GB2312"/>
          <w:b/>
          <w:bCs/>
          <w:i w:val="0"/>
          <w:iCs w:val="0"/>
          <w:caps w:val="0"/>
          <w:color w:val="auto"/>
          <w:spacing w:val="0"/>
          <w:sz w:val="44"/>
          <w:szCs w:val="44"/>
          <w:shd w:val="clear" w:fill="FFFFFF"/>
          <w:lang w:val="en-US" w:eastAsia="zh-CN"/>
        </w:rPr>
        <w:t>住房</w:t>
      </w:r>
      <w:r>
        <w:rPr>
          <w:rFonts w:hint="eastAsia" w:ascii="仿宋_GB2312" w:hAnsi="仿宋_GB2312" w:eastAsia="仿宋_GB2312" w:cs="仿宋_GB2312"/>
          <w:b/>
          <w:bCs/>
          <w:i w:val="0"/>
          <w:iCs w:val="0"/>
          <w:caps w:val="0"/>
          <w:color w:val="auto"/>
          <w:spacing w:val="0"/>
          <w:sz w:val="44"/>
          <w:szCs w:val="44"/>
          <w:shd w:val="clear" w:fill="FFFFFF"/>
        </w:rPr>
        <w:t>建设局救济渠道</w:t>
      </w:r>
    </w:p>
    <w:p w14:paraId="5518D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textAlignment w:val="baseline"/>
        <w:rPr>
          <w:rFonts w:ascii="仿宋" w:hAnsi="仿宋" w:eastAsia="仿宋" w:cs="仿宋"/>
          <w:b/>
          <w:bCs/>
          <w:i w:val="0"/>
          <w:iCs w:val="0"/>
          <w:caps w:val="0"/>
          <w:color w:val="333333"/>
          <w:spacing w:val="0"/>
          <w:sz w:val="32"/>
          <w:szCs w:val="32"/>
          <w:bdr w:val="none" w:color="auto" w:sz="0" w:space="0"/>
          <w:shd w:val="clear" w:fill="FFFFFF"/>
          <w:vertAlign w:val="baseline"/>
        </w:rPr>
      </w:pPr>
    </w:p>
    <w:p w14:paraId="71C32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textAlignment w:val="baseline"/>
        <w:rPr>
          <w:rFonts w:ascii="Arial" w:hAnsi="Arial" w:cs="Arial"/>
          <w:i w:val="0"/>
          <w:iCs w:val="0"/>
          <w:caps w:val="0"/>
          <w:color w:val="000000"/>
          <w:spacing w:val="0"/>
          <w:sz w:val="24"/>
          <w:szCs w:val="24"/>
        </w:rPr>
      </w:pPr>
      <w:r>
        <w:rPr>
          <w:rFonts w:ascii="仿宋" w:hAnsi="仿宋" w:eastAsia="仿宋" w:cs="仿宋"/>
          <w:b/>
          <w:bCs/>
          <w:i w:val="0"/>
          <w:iCs w:val="0"/>
          <w:caps w:val="0"/>
          <w:color w:val="333333"/>
          <w:spacing w:val="0"/>
          <w:sz w:val="32"/>
          <w:szCs w:val="32"/>
          <w:bdr w:val="none" w:color="auto" w:sz="0" w:space="0"/>
          <w:shd w:val="clear" w:fill="FFFFFF"/>
          <w:vertAlign w:val="baseline"/>
        </w:rPr>
        <w:t>一、行政复议</w:t>
      </w:r>
    </w:p>
    <w:p w14:paraId="0AB470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vertAlign w:val="baseline"/>
        </w:rPr>
        <w:t>根据《中华人民共和国行政复议法》第二十条规定，公民、法人或者其他组织认为行政行为侵犯其合法权益的，可以自知道或者应当知道该行政行为之日起六十日内申请行政复议；但是法律规定的申请期限超过六十日的除外。</w:t>
      </w:r>
    </w:p>
    <w:p w14:paraId="2652B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textAlignment w:val="baseline"/>
        <w:rPr>
          <w:rFonts w:hint="default" w:ascii="Arial" w:hAnsi="Arial" w:cs="Arial"/>
          <w:i w:val="0"/>
          <w:iCs w:val="0"/>
          <w:caps w:val="0"/>
          <w:color w:val="000000"/>
          <w:spacing w:val="0"/>
          <w:sz w:val="24"/>
          <w:szCs w:val="24"/>
        </w:rPr>
      </w:pPr>
      <w:r>
        <w:rPr>
          <w:rFonts w:hint="eastAsia" w:ascii="仿宋" w:hAnsi="仿宋" w:eastAsia="仿宋" w:cs="仿宋"/>
          <w:b/>
          <w:bCs/>
          <w:i w:val="0"/>
          <w:iCs w:val="0"/>
          <w:caps w:val="0"/>
          <w:color w:val="333333"/>
          <w:spacing w:val="0"/>
          <w:sz w:val="32"/>
          <w:szCs w:val="32"/>
          <w:bdr w:val="none" w:color="auto" w:sz="0" w:space="0"/>
          <w:shd w:val="clear" w:fill="FFFFFF"/>
          <w:vertAlign w:val="baseline"/>
        </w:rPr>
        <w:t>二、行政诉讼</w:t>
      </w:r>
      <w:bookmarkStart w:id="0" w:name="_GoBack"/>
      <w:bookmarkEnd w:id="0"/>
    </w:p>
    <w:p w14:paraId="5D4A3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vertAlign w:val="baseline"/>
        </w:rPr>
        <w:t>根据《中华人民共和国行政诉讼法》第四十六条规定，公民、法人或者其他组织直接向人民法院，应当自知道或者应当知道作出行政行为之日起六个月内提出行政诉讼。法律另有规定的除外。</w:t>
      </w:r>
    </w:p>
    <w:p w14:paraId="6F0D2855">
      <w:pPr>
        <w:rPr>
          <w:rFonts w:ascii="宋体" w:hAnsi="宋体" w:eastAsia="宋体" w:cs="宋体"/>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E682B"/>
    <w:rsid w:val="463E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2026-02-05T09:17:00Z</dcterms:created>
  <dc:creator>15770189169</dc:creator>
  <cp:lastModifiedBy>15770189169</cp:lastModifiedBy>
  <dcterms:modified xsi:type="dcterms:W3CDTF">2026-02-05T09:19:46Z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47E6873897994C2BB97663BD08973ECB_11</vt:lpwstr>
  </property>
  <property fmtid="{D5CDD505-2E9C-101B-9397-08002B2CF9AE}" pid="4" name="KSOTemplateDocerSaveRecord">
    <vt:lpwstr>eyJoZGlkIjoiNTM1NDBiM2UyMWYxZmFhOWRhM2EwM2JmNzZkZDY0ZDYiLCJ1c2VySWQiOiIxNDI3NDcwMjYyIn0=</vt:lpwstr>
  </property>
</Properties>
</file>