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5C1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baseline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/>
        </w:rPr>
        <w:t>喀什经济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开发区兵团分区自然资源和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立案依据公示</w:t>
      </w:r>
    </w:p>
    <w:bookmarkEnd w:id="0"/>
    <w:p w14:paraId="460602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</w:pPr>
    </w:p>
    <w:p w14:paraId="3E8495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根据《住房和城乡建设行政处罚程序规定》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第十五条 执法机关对依据监督检查职权或者通过投诉、举报等途径发现的违法行为线索，应当在十五日内予以核查，情况复杂确实无法按期完成的，经本机关负责人批准，可以延长十日。</w:t>
      </w:r>
    </w:p>
    <w:p w14:paraId="20669F7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经核查，符合下列条件的，应当予以立案：</w:t>
      </w:r>
    </w:p>
    <w:p w14:paraId="5CB52C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（一）有初步证据证明存在违法行为；</w:t>
      </w:r>
    </w:p>
    <w:p w14:paraId="5704ED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（二）违法行为属于本机关管辖；</w:t>
      </w:r>
    </w:p>
    <w:p w14:paraId="6FF5E5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（三）违法行为未超过行政处罚时效。</w:t>
      </w:r>
    </w:p>
    <w:p w14:paraId="459633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立案应当填写立案审批表，附上相关材料，报本机关负责人批准。</w:t>
      </w:r>
    </w:p>
    <w:p w14:paraId="2BBAD0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立案前核查或者监督检查过程中依法取得的证据材料，可以作为案件的证据使用。</w:t>
      </w:r>
    </w:p>
    <w:p w14:paraId="55BCE5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D4FEC"/>
    <w:rsid w:val="1DAD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2026-02-05T09:10:00Z</dcterms:created>
  <dc:creator>15770189169</dc:creator>
  <cp:lastModifiedBy>15770189169</cp:lastModifiedBy>
  <dcterms:modified xsi:type="dcterms:W3CDTF">2026-02-05T09:15:26Z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A5B1385A2F7B43888EF729C9C9045DB6_11</vt:lpwstr>
  </property>
  <property fmtid="{D5CDD505-2E9C-101B-9397-08002B2CF9AE}" pid="4" name="KSOTemplateDocerSaveRecord">
    <vt:lpwstr>eyJoZGlkIjoiNTM1NDBiM2UyMWYxZmFhOWRhM2EwM2JmNzZkZDY0ZDYiLCJ1c2VySWQiOiIxNDI3NDcwMjYyIn0=</vt:lpwstr>
  </property>
</Properties>
</file>