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D5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救济渠道</w:t>
      </w:r>
    </w:p>
    <w:bookmarkEnd w:id="0"/>
    <w:p w14:paraId="4A9EF9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A7D83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公民、法人或者其他组织认为行政行为侵犯其合法权益的，可以自知道或者应当知道该行政行为之日起六十日内向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图木舒克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市人民政府提出行政复议申请。或者自知道或者应当知道该行政行为之日起六个月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内向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图木舒克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市人民法院提起行政诉讼。</w:t>
      </w:r>
    </w:p>
    <w:p w14:paraId="1883F8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行政行为属于《中华人民共和国行政复议法》第二十三条规定的情形，救济渠道为公民、法人或者其他组织认为行政行为侵犯其合法权益的，应当自知道或者应当知道该行政行为之日起六十日内向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图木舒克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市人民政府提出行政复议申请。</w:t>
      </w:r>
    </w:p>
    <w:p w14:paraId="42635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2026-02-02T03:46:35Z</dcterms:created>
  <dc:creator>lenovo</dc:creator>
  <cp:lastModifiedBy>杜勇</cp:lastModifiedBy>
  <dcterms:modified xsi:type="dcterms:W3CDTF">2026-02-02T03:47:35Z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eyJoZGlkIjoiYWM1MDE2ZWI1M2ZjM2RkMzQxMjIzYmRjZDcwMDM3NjQiLCJ1c2VySWQiOiI0NzczODM0NzQifQ==</vt:lpwstr>
  </property>
  <property fmtid="{D5CDD505-2E9C-101B-9397-08002B2CF9AE}" pid="4" name="ICV">
    <vt:lpwstr>F55E2270B44E427492829D36BAF5447B_12</vt:lpwstr>
  </property>
</Properties>
</file>