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09F8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五十一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团涉企行政检查频次上限公示</w:t>
      </w:r>
    </w:p>
    <w:p w14:paraId="0A0A7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为进一步规范涉企行政检查行为，切实保障行政相对人和社会公众的知情权、参与权和监督权，现将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团涉企行政检查频次上限公示如下：</w:t>
      </w:r>
    </w:p>
    <w:p w14:paraId="781BB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清真食品监督检查频次上限一年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次；安全生产检查频次上限一年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次；消防安全检查频次上限一年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次；动物防疫检查频次上限一年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次；农机作业质量检查频次上限一年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物业管理监督检查频次上限一年4次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；地震应急工作的监督检查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频次上限一年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；汛前安全检查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频次上限一年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3次；对地质灾害险情的巡回检查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上限一年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1次；对防范本地区发生特大安全事故的行政检查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上限一年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114B9"/>
    <w:rsid w:val="52C46BA8"/>
    <w:rsid w:val="6A43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0</Lines>
  <Paragraphs>0</Paragraphs>
  <TotalTime>2</TotalTime>
  <ScaleCrop>false</ScaleCrop>
  <LinksUpToDate>false</LinksUpToDate>
  <CharactersWithSpaces>175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2025-07-08T05:42:00Z</dcterms:created>
  <dc:creator>5103</dc:creator>
  <cp:lastModifiedBy>kepler.</cp:lastModifiedBy>
  <dcterms:modified xsi:type="dcterms:W3CDTF">2025-07-08T06:30:44Z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eyJoZGlkIjoiYzVlMWYwMjRhZWJjYzIzZWNhMTc1OGMzMjRlN2RmZTgiLCJ1c2VySWQiOiIxMTM1MTg3NDY5In0=</vt:lpwstr>
  </property>
  <property fmtid="{D5CDD505-2E9C-101B-9397-08002B2CF9AE}" pid="4" name="ICV">
    <vt:lpwstr>3C4EBAC4B597497CB924D1B830909561_12</vt:lpwstr>
  </property>
</Properties>
</file>